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5A89C" w14:textId="77777777" w:rsidR="000C0F2E" w:rsidRPr="000C0F2E" w:rsidRDefault="000C0F2E" w:rsidP="000C0F2E"/>
    <w:p w14:paraId="1F3D2656" w14:textId="36C8A726" w:rsidR="000C0F2E" w:rsidRDefault="000C0F2E" w:rsidP="000C0F2E">
      <w:pPr>
        <w:jc w:val="center"/>
        <w:rPr>
          <w:rFonts w:ascii="Calibri" w:hAnsi="Calibri" w:cs="Calibri"/>
          <w:b/>
          <w:bCs/>
          <w:sz w:val="24"/>
          <w:szCs w:val="24"/>
        </w:rPr>
      </w:pPr>
      <w:r w:rsidRPr="000C0F2E">
        <w:rPr>
          <w:rFonts w:ascii="Calibri" w:hAnsi="Calibri" w:cs="Calibri"/>
          <w:b/>
          <w:bCs/>
          <w:sz w:val="24"/>
          <w:szCs w:val="24"/>
        </w:rPr>
        <w:t>Towards a Network of Canadian Chambers of Commerce and Business Associations in Europe (“CanChams of Europe”)</w:t>
      </w:r>
    </w:p>
    <w:p w14:paraId="00DFD9E9" w14:textId="6FD493A1" w:rsidR="000C0F2E" w:rsidRDefault="000C0F2E" w:rsidP="000C0F2E">
      <w:pPr>
        <w:jc w:val="center"/>
        <w:rPr>
          <w:rFonts w:ascii="Calibri" w:hAnsi="Calibri" w:cs="Calibri"/>
          <w:b/>
          <w:bCs/>
          <w:sz w:val="24"/>
          <w:szCs w:val="24"/>
          <w:u w:val="single"/>
        </w:rPr>
      </w:pPr>
      <w:r w:rsidRPr="000C0F2E">
        <w:rPr>
          <w:rFonts w:ascii="Calibri" w:hAnsi="Calibri" w:cs="Calibri"/>
          <w:b/>
          <w:bCs/>
          <w:sz w:val="24"/>
          <w:szCs w:val="24"/>
          <w:u w:val="single"/>
        </w:rPr>
        <w:t>Draft Discussion Paper</w:t>
      </w:r>
    </w:p>
    <w:p w14:paraId="63936064" w14:textId="77777777" w:rsidR="00EB268A" w:rsidRDefault="00EB268A" w:rsidP="000C0F2E">
      <w:pPr>
        <w:jc w:val="center"/>
        <w:rPr>
          <w:rFonts w:ascii="Calibri" w:hAnsi="Calibri" w:cs="Calibri"/>
          <w:b/>
          <w:bCs/>
          <w:sz w:val="24"/>
          <w:szCs w:val="24"/>
          <w:u w:val="single"/>
        </w:rPr>
      </w:pPr>
    </w:p>
    <w:p w14:paraId="058D174D" w14:textId="290B4B5C" w:rsidR="00EB268A" w:rsidRPr="002C4D4B" w:rsidRDefault="00EB268A" w:rsidP="002C4D4B">
      <w:pPr>
        <w:rPr>
          <w:rFonts w:ascii="Calibri" w:hAnsi="Calibri" w:cs="Calibri"/>
          <w:i/>
          <w:iCs/>
          <w:sz w:val="24"/>
          <w:szCs w:val="24"/>
        </w:rPr>
      </w:pPr>
      <w:r w:rsidRPr="006365D0">
        <w:rPr>
          <w:rFonts w:ascii="Calibri" w:hAnsi="Calibri" w:cs="Calibri"/>
          <w:i/>
          <w:iCs/>
          <w:sz w:val="24"/>
          <w:szCs w:val="24"/>
        </w:rPr>
        <w:t xml:space="preserve">This discussion paper provides a framework for further consideration, dialogue, and refinement. The </w:t>
      </w:r>
      <w:proofErr w:type="gramStart"/>
      <w:r w:rsidRPr="006365D0">
        <w:rPr>
          <w:rFonts w:ascii="Calibri" w:hAnsi="Calibri" w:cs="Calibri"/>
          <w:i/>
          <w:iCs/>
          <w:sz w:val="24"/>
          <w:szCs w:val="24"/>
        </w:rPr>
        <w:t>ultimate goal</w:t>
      </w:r>
      <w:proofErr w:type="gramEnd"/>
      <w:r w:rsidRPr="006365D0">
        <w:rPr>
          <w:rFonts w:ascii="Calibri" w:hAnsi="Calibri" w:cs="Calibri"/>
          <w:i/>
          <w:iCs/>
          <w:sz w:val="24"/>
          <w:szCs w:val="24"/>
        </w:rPr>
        <w:t xml:space="preserve"> is a network that is light, flexible, and voluntary in structure, but effective in delivering tangible benefits to members and to Canada’s trade and investment relationship with Europe and beyond.</w:t>
      </w:r>
    </w:p>
    <w:p w14:paraId="25254570" w14:textId="11A8C1E9" w:rsidR="00E017FD" w:rsidRDefault="00000000" w:rsidP="000C0F2E">
      <w:pPr>
        <w:pStyle w:val="Heading1"/>
        <w:numPr>
          <w:ilvl w:val="0"/>
          <w:numId w:val="10"/>
        </w:numPr>
        <w:rPr>
          <w:rFonts w:ascii="Calibri" w:eastAsiaTheme="minorEastAsia" w:hAnsi="Calibri" w:cs="Calibri"/>
          <w:color w:val="auto"/>
          <w:sz w:val="24"/>
          <w:szCs w:val="24"/>
        </w:rPr>
      </w:pPr>
      <w:r w:rsidRPr="000C0F2E">
        <w:rPr>
          <w:rFonts w:ascii="Calibri" w:eastAsiaTheme="minorEastAsia" w:hAnsi="Calibri" w:cs="Calibri"/>
          <w:color w:val="auto"/>
          <w:sz w:val="24"/>
          <w:szCs w:val="24"/>
        </w:rPr>
        <w:t>Introduction and Context</w:t>
      </w:r>
    </w:p>
    <w:p w14:paraId="1B8726B6" w14:textId="2165B287" w:rsidR="00F974BF" w:rsidRDefault="006365D0">
      <w:pPr>
        <w:rPr>
          <w:rFonts w:ascii="Calibri" w:hAnsi="Calibri" w:cs="Calibri"/>
          <w:sz w:val="24"/>
          <w:szCs w:val="24"/>
        </w:rPr>
      </w:pPr>
      <w:r>
        <w:br/>
      </w:r>
      <w:r w:rsidRPr="000C0F2E">
        <w:rPr>
          <w:rFonts w:ascii="Calibri" w:hAnsi="Calibri" w:cs="Calibri"/>
          <w:sz w:val="24"/>
          <w:szCs w:val="24"/>
        </w:rPr>
        <w:t>Canada and Europe share one of the world’s most extensive and dynamic economic relationships. The region includes the European Union — with which Canada enjoys a comprehensive free trade agreement through the Comprehensive Economic and Trade Agreement (CETA) — as well as other important partners where Canada has established trade agreements, including the Canada</w:t>
      </w:r>
      <w:r w:rsidR="000C0F2E">
        <w:rPr>
          <w:rFonts w:ascii="Calibri" w:hAnsi="Calibri" w:cs="Calibri"/>
          <w:sz w:val="24"/>
          <w:szCs w:val="24"/>
        </w:rPr>
        <w:t>-</w:t>
      </w:r>
      <w:r w:rsidRPr="000C0F2E">
        <w:rPr>
          <w:rFonts w:ascii="Calibri" w:hAnsi="Calibri" w:cs="Calibri"/>
          <w:sz w:val="24"/>
          <w:szCs w:val="24"/>
        </w:rPr>
        <w:t>United Kingdom Trade Continuity Agreement (TCA) and the Canada–EFTA Free Trade Agreement (covering Switzerland, Norway, Iceland, and Liechtenstein).</w:t>
      </w:r>
      <w:r w:rsidRPr="000C0F2E">
        <w:rPr>
          <w:rFonts w:ascii="Calibri" w:hAnsi="Calibri" w:cs="Calibri"/>
          <w:sz w:val="24"/>
          <w:szCs w:val="24"/>
        </w:rPr>
        <w:br/>
      </w:r>
      <w:r w:rsidRPr="000C0F2E">
        <w:rPr>
          <w:rFonts w:ascii="Calibri" w:hAnsi="Calibri" w:cs="Calibri"/>
          <w:sz w:val="24"/>
          <w:szCs w:val="24"/>
        </w:rPr>
        <w:br/>
        <w:t xml:space="preserve">Together, these agreements provide Canadian and European businesses with a solid </w:t>
      </w:r>
      <w:r w:rsidR="000C0F2E">
        <w:rPr>
          <w:rFonts w:ascii="Calibri" w:hAnsi="Calibri" w:cs="Calibri"/>
          <w:sz w:val="24"/>
          <w:szCs w:val="24"/>
        </w:rPr>
        <w:t xml:space="preserve">and rules-based </w:t>
      </w:r>
      <w:r w:rsidRPr="000C0F2E">
        <w:rPr>
          <w:rFonts w:ascii="Calibri" w:hAnsi="Calibri" w:cs="Calibri"/>
          <w:sz w:val="24"/>
          <w:szCs w:val="24"/>
        </w:rPr>
        <w:t>framework for trade, investment, and innovation across diverse markets.</w:t>
      </w:r>
    </w:p>
    <w:p w14:paraId="556BB608" w14:textId="75EE8DC5" w:rsidR="005453F1" w:rsidRDefault="005453F1">
      <w:pPr>
        <w:rPr>
          <w:rFonts w:ascii="Calibri" w:hAnsi="Calibri" w:cs="Calibri"/>
          <w:sz w:val="24"/>
          <w:szCs w:val="24"/>
        </w:rPr>
      </w:pPr>
      <w:r w:rsidRPr="005453F1">
        <w:rPr>
          <w:rFonts w:ascii="Calibri" w:hAnsi="Calibri" w:cs="Calibri"/>
          <w:sz w:val="24"/>
          <w:szCs w:val="24"/>
        </w:rPr>
        <w:t>In today’s evolving global landscape, rising protectionism and barriers to economic progress present significant challenges. Recognizing the urgency of the moment, the Government of Canada is actively pursuing a strategy to diversify its commercial partnerships—opening new avenues for exports and attracting increased foreign direct investment. Europe stands out as a strategic region, essential to achieving Canada’s economic diversification goals and fostering resilient</w:t>
      </w:r>
      <w:r w:rsidR="00E91EF7">
        <w:rPr>
          <w:rFonts w:ascii="Calibri" w:hAnsi="Calibri" w:cs="Calibri"/>
          <w:sz w:val="24"/>
          <w:szCs w:val="24"/>
        </w:rPr>
        <w:t xml:space="preserve"> and </w:t>
      </w:r>
      <w:r w:rsidRPr="005453F1">
        <w:rPr>
          <w:rFonts w:ascii="Calibri" w:hAnsi="Calibri" w:cs="Calibri"/>
          <w:sz w:val="24"/>
          <w:szCs w:val="24"/>
        </w:rPr>
        <w:t>inclusive growth.</w:t>
      </w:r>
    </w:p>
    <w:p w14:paraId="21E5963B" w14:textId="557E9B4B" w:rsidR="00E017FD" w:rsidRPr="000C0F2E" w:rsidRDefault="006365D0">
      <w:pPr>
        <w:rPr>
          <w:rFonts w:ascii="Calibri" w:hAnsi="Calibri" w:cs="Calibri"/>
          <w:sz w:val="24"/>
          <w:szCs w:val="24"/>
        </w:rPr>
      </w:pPr>
      <w:r w:rsidRPr="000C0F2E">
        <w:rPr>
          <w:rFonts w:ascii="Calibri" w:hAnsi="Calibri" w:cs="Calibri"/>
          <w:sz w:val="24"/>
          <w:szCs w:val="24"/>
        </w:rPr>
        <w:t>Within this context, Canadian bilateral chambers of commerce and business associations across Europe play a critical role</w:t>
      </w:r>
      <w:r w:rsidR="000C0F2E">
        <w:rPr>
          <w:rFonts w:ascii="Calibri" w:hAnsi="Calibri" w:cs="Calibri"/>
          <w:sz w:val="24"/>
          <w:szCs w:val="24"/>
        </w:rPr>
        <w:t xml:space="preserve"> to promote the Canada-European trade and investment relationship</w:t>
      </w:r>
      <w:r w:rsidRPr="000C0F2E">
        <w:rPr>
          <w:rFonts w:ascii="Calibri" w:hAnsi="Calibri" w:cs="Calibri"/>
          <w:sz w:val="24"/>
          <w:szCs w:val="24"/>
        </w:rPr>
        <w:t>. They serve as bridges between Canadian and European business communities, tailored to the unique opportunities and challenges of their respective markets.</w:t>
      </w:r>
      <w:r w:rsidRPr="000C0F2E">
        <w:rPr>
          <w:rFonts w:ascii="Calibri" w:hAnsi="Calibri" w:cs="Calibri"/>
          <w:sz w:val="24"/>
          <w:szCs w:val="24"/>
        </w:rPr>
        <w:br/>
      </w:r>
      <w:r w:rsidRPr="000C0F2E">
        <w:rPr>
          <w:rFonts w:ascii="Calibri" w:hAnsi="Calibri" w:cs="Calibri"/>
          <w:sz w:val="24"/>
          <w:szCs w:val="24"/>
        </w:rPr>
        <w:lastRenderedPageBreak/>
        <w:br/>
        <w:t>Recogni</w:t>
      </w:r>
      <w:r w:rsidR="00EB268A">
        <w:rPr>
          <w:rFonts w:ascii="Calibri" w:hAnsi="Calibri" w:cs="Calibri"/>
          <w:sz w:val="24"/>
          <w:szCs w:val="24"/>
        </w:rPr>
        <w:t>z</w:t>
      </w:r>
      <w:r w:rsidRPr="000C0F2E">
        <w:rPr>
          <w:rFonts w:ascii="Calibri" w:hAnsi="Calibri" w:cs="Calibri"/>
          <w:sz w:val="24"/>
          <w:szCs w:val="24"/>
        </w:rPr>
        <w:t xml:space="preserve">ing the value of deeper collaboration, the “CanChams of Europe” initiative was launched to bring together these chambers and associations, alongside Canadian government partners </w:t>
      </w:r>
      <w:r w:rsidR="000C0F2E">
        <w:rPr>
          <w:rFonts w:ascii="Calibri" w:hAnsi="Calibri" w:cs="Calibri"/>
          <w:sz w:val="24"/>
          <w:szCs w:val="24"/>
        </w:rPr>
        <w:t xml:space="preserve">– </w:t>
      </w:r>
      <w:r w:rsidRPr="000C0F2E">
        <w:rPr>
          <w:rFonts w:ascii="Calibri" w:hAnsi="Calibri" w:cs="Calibri"/>
          <w:sz w:val="24"/>
          <w:szCs w:val="24"/>
        </w:rPr>
        <w:t xml:space="preserve"> including the Trade Commissioner Service (TCS), Export Development Canada (EDC), and Canadian provincial authorities.</w:t>
      </w:r>
      <w:r w:rsidRPr="000C0F2E">
        <w:rPr>
          <w:rFonts w:ascii="Calibri" w:hAnsi="Calibri" w:cs="Calibri"/>
          <w:sz w:val="24"/>
          <w:szCs w:val="24"/>
        </w:rPr>
        <w:br/>
      </w:r>
      <w:r w:rsidRPr="000C0F2E">
        <w:rPr>
          <w:rFonts w:ascii="Calibri" w:hAnsi="Calibri" w:cs="Calibri"/>
          <w:sz w:val="24"/>
          <w:szCs w:val="24"/>
        </w:rPr>
        <w:br/>
        <w:t>This paper sets out a proposed vision and framework to formali</w:t>
      </w:r>
      <w:r w:rsidR="000C0F2E">
        <w:rPr>
          <w:rFonts w:ascii="Calibri" w:hAnsi="Calibri" w:cs="Calibri"/>
          <w:sz w:val="24"/>
          <w:szCs w:val="24"/>
        </w:rPr>
        <w:t>z</w:t>
      </w:r>
      <w:r w:rsidRPr="000C0F2E">
        <w:rPr>
          <w:rFonts w:ascii="Calibri" w:hAnsi="Calibri" w:cs="Calibri"/>
          <w:sz w:val="24"/>
          <w:szCs w:val="24"/>
        </w:rPr>
        <w:t>e this initiative into a sustainable network. It provides a basis for discussion and refinement among members.</w:t>
      </w:r>
    </w:p>
    <w:p w14:paraId="7FC12647" w14:textId="07953600" w:rsidR="00E017FD" w:rsidRPr="000C0F2E" w:rsidRDefault="00000000" w:rsidP="000C0F2E">
      <w:pPr>
        <w:pStyle w:val="Heading1"/>
        <w:numPr>
          <w:ilvl w:val="0"/>
          <w:numId w:val="10"/>
        </w:numPr>
        <w:rPr>
          <w:rFonts w:ascii="Calibri" w:eastAsiaTheme="minorEastAsia" w:hAnsi="Calibri" w:cs="Calibri"/>
          <w:color w:val="auto"/>
          <w:sz w:val="24"/>
          <w:szCs w:val="24"/>
        </w:rPr>
      </w:pPr>
      <w:r w:rsidRPr="000C0F2E">
        <w:rPr>
          <w:rFonts w:ascii="Calibri" w:eastAsiaTheme="minorEastAsia" w:hAnsi="Calibri" w:cs="Calibri"/>
          <w:color w:val="auto"/>
          <w:sz w:val="24"/>
          <w:szCs w:val="24"/>
        </w:rPr>
        <w:t>Mission and Objective</w:t>
      </w:r>
    </w:p>
    <w:p w14:paraId="2FE6719F" w14:textId="41AD6293" w:rsidR="00E017FD" w:rsidRPr="000C0F2E" w:rsidRDefault="006365D0">
      <w:pPr>
        <w:rPr>
          <w:rFonts w:ascii="Calibri" w:hAnsi="Calibri" w:cs="Calibri"/>
          <w:sz w:val="24"/>
          <w:szCs w:val="24"/>
        </w:rPr>
      </w:pPr>
      <w:r>
        <w:rPr>
          <w:rFonts w:ascii="Calibri" w:hAnsi="Calibri" w:cs="Calibri"/>
          <w:sz w:val="24"/>
          <w:szCs w:val="24"/>
        </w:rPr>
        <w:br/>
      </w:r>
      <w:r w:rsidRPr="000C0F2E">
        <w:rPr>
          <w:rFonts w:ascii="Calibri" w:hAnsi="Calibri" w:cs="Calibri"/>
          <w:sz w:val="24"/>
          <w:szCs w:val="24"/>
        </w:rPr>
        <w:t>The CanChams of Europe initiative is a network of Canadian bilateral chambers of commerce and business associations across Europe with the goal of enhancing collaboration and helping to support and drive trade and economic growth between Canada and Europe.</w:t>
      </w:r>
      <w:r w:rsidRPr="000C0F2E">
        <w:rPr>
          <w:rFonts w:ascii="Calibri" w:hAnsi="Calibri" w:cs="Calibri"/>
          <w:sz w:val="24"/>
          <w:szCs w:val="24"/>
        </w:rPr>
        <w:br/>
      </w:r>
      <w:r w:rsidRPr="000C0F2E">
        <w:rPr>
          <w:rFonts w:ascii="Calibri" w:hAnsi="Calibri" w:cs="Calibri"/>
          <w:sz w:val="24"/>
          <w:szCs w:val="24"/>
        </w:rPr>
        <w:br/>
        <w:t>This mission underpins all activities of the network, shaping both its short-term priorities and longer-term ambitions.</w:t>
      </w:r>
    </w:p>
    <w:p w14:paraId="3537AFA3" w14:textId="6D0101D5" w:rsidR="000C0F2E" w:rsidRPr="000C0F2E" w:rsidRDefault="00000000" w:rsidP="000C0F2E">
      <w:pPr>
        <w:pStyle w:val="Heading1"/>
        <w:numPr>
          <w:ilvl w:val="0"/>
          <w:numId w:val="10"/>
        </w:numPr>
        <w:rPr>
          <w:rFonts w:ascii="Calibri" w:eastAsiaTheme="minorEastAsia" w:hAnsi="Calibri" w:cs="Calibri"/>
          <w:color w:val="auto"/>
          <w:sz w:val="24"/>
          <w:szCs w:val="24"/>
        </w:rPr>
      </w:pPr>
      <w:r w:rsidRPr="000C0F2E">
        <w:rPr>
          <w:rFonts w:ascii="Calibri" w:eastAsiaTheme="minorEastAsia" w:hAnsi="Calibri" w:cs="Calibri"/>
          <w:color w:val="auto"/>
          <w:sz w:val="24"/>
          <w:szCs w:val="24"/>
        </w:rPr>
        <w:t>Vision</w:t>
      </w:r>
    </w:p>
    <w:p w14:paraId="74CE3FA2" w14:textId="5207F298" w:rsidR="00E017FD" w:rsidRPr="000C0F2E" w:rsidRDefault="006365D0">
      <w:pPr>
        <w:rPr>
          <w:rFonts w:ascii="Calibri" w:hAnsi="Calibri" w:cs="Calibri"/>
          <w:sz w:val="24"/>
          <w:szCs w:val="24"/>
        </w:rPr>
      </w:pPr>
      <w:r>
        <w:rPr>
          <w:rFonts w:ascii="Calibri" w:hAnsi="Calibri" w:cs="Calibri"/>
          <w:sz w:val="24"/>
          <w:szCs w:val="24"/>
        </w:rPr>
        <w:br/>
      </w:r>
      <w:r w:rsidRPr="000C0F2E">
        <w:rPr>
          <w:rFonts w:ascii="Calibri" w:hAnsi="Calibri" w:cs="Calibri"/>
          <w:sz w:val="24"/>
          <w:szCs w:val="24"/>
        </w:rPr>
        <w:t xml:space="preserve">Our vision is to create a strong, trusted, and collaborative network of Canadian chambers and business associations across Europe, working in partnership with Canadian government </w:t>
      </w:r>
      <w:r w:rsidR="00EB268A">
        <w:rPr>
          <w:rFonts w:ascii="Calibri" w:hAnsi="Calibri" w:cs="Calibri"/>
          <w:sz w:val="24"/>
          <w:szCs w:val="24"/>
        </w:rPr>
        <w:t xml:space="preserve">and industry </w:t>
      </w:r>
      <w:r w:rsidRPr="000C0F2E">
        <w:rPr>
          <w:rFonts w:ascii="Calibri" w:hAnsi="Calibri" w:cs="Calibri"/>
          <w:sz w:val="24"/>
          <w:szCs w:val="24"/>
        </w:rPr>
        <w:t>stakeholders, to strengthen and expand the Canada–Europe relationship, while contributing to Canada’s global trade network.</w:t>
      </w:r>
    </w:p>
    <w:p w14:paraId="276C1C92" w14:textId="1DD384DF" w:rsidR="00E017FD" w:rsidRPr="000C0F2E" w:rsidRDefault="00000000" w:rsidP="000C0F2E">
      <w:pPr>
        <w:pStyle w:val="Heading1"/>
        <w:numPr>
          <w:ilvl w:val="0"/>
          <w:numId w:val="10"/>
        </w:numPr>
        <w:rPr>
          <w:rFonts w:ascii="Calibri" w:eastAsiaTheme="minorEastAsia" w:hAnsi="Calibri" w:cs="Calibri"/>
          <w:color w:val="auto"/>
          <w:sz w:val="24"/>
          <w:szCs w:val="24"/>
        </w:rPr>
      </w:pPr>
      <w:r w:rsidRPr="000C0F2E">
        <w:rPr>
          <w:rFonts w:ascii="Calibri" w:eastAsiaTheme="minorEastAsia" w:hAnsi="Calibri" w:cs="Calibri"/>
          <w:color w:val="auto"/>
          <w:sz w:val="24"/>
          <w:szCs w:val="24"/>
        </w:rPr>
        <w:t>Core Values and Principles</w:t>
      </w:r>
    </w:p>
    <w:p w14:paraId="7D35337B" w14:textId="543F2FB9" w:rsidR="000C0F2E" w:rsidRDefault="006365D0">
      <w:pPr>
        <w:rPr>
          <w:rFonts w:ascii="Calibri" w:hAnsi="Calibri" w:cs="Calibri"/>
          <w:sz w:val="24"/>
          <w:szCs w:val="24"/>
        </w:rPr>
      </w:pPr>
      <w:r>
        <w:rPr>
          <w:rFonts w:ascii="Calibri" w:hAnsi="Calibri" w:cs="Calibri"/>
          <w:sz w:val="24"/>
          <w:szCs w:val="24"/>
        </w:rPr>
        <w:br/>
      </w:r>
      <w:r w:rsidRPr="000C0F2E">
        <w:rPr>
          <w:rFonts w:ascii="Calibri" w:hAnsi="Calibri" w:cs="Calibri"/>
          <w:sz w:val="24"/>
          <w:szCs w:val="24"/>
        </w:rPr>
        <w:t>The network will be guided by the following values:</w:t>
      </w:r>
    </w:p>
    <w:p w14:paraId="29D223AE" w14:textId="54721111" w:rsidR="000C0F2E" w:rsidRDefault="00000000" w:rsidP="000C0F2E">
      <w:pPr>
        <w:pStyle w:val="ListParagraph"/>
        <w:numPr>
          <w:ilvl w:val="0"/>
          <w:numId w:val="11"/>
        </w:numPr>
        <w:rPr>
          <w:rFonts w:ascii="Calibri" w:hAnsi="Calibri" w:cs="Calibri"/>
          <w:sz w:val="24"/>
          <w:szCs w:val="24"/>
        </w:rPr>
      </w:pPr>
      <w:r w:rsidRPr="000C0F2E">
        <w:rPr>
          <w:rFonts w:ascii="Calibri" w:hAnsi="Calibri" w:cs="Calibri"/>
          <w:sz w:val="24"/>
          <w:szCs w:val="24"/>
          <w:u w:val="single"/>
        </w:rPr>
        <w:t>Autonomy and diversity</w:t>
      </w:r>
      <w:r w:rsidRPr="000C0F2E">
        <w:rPr>
          <w:rFonts w:ascii="Calibri" w:hAnsi="Calibri" w:cs="Calibri"/>
          <w:sz w:val="24"/>
          <w:szCs w:val="24"/>
        </w:rPr>
        <w:t>: Each CanCham operates independently, with its own mandate and market priorities. The network recogni</w:t>
      </w:r>
      <w:r w:rsidR="006365D0">
        <w:rPr>
          <w:rFonts w:ascii="Calibri" w:hAnsi="Calibri" w:cs="Calibri"/>
          <w:sz w:val="24"/>
          <w:szCs w:val="24"/>
        </w:rPr>
        <w:t>z</w:t>
      </w:r>
      <w:r w:rsidRPr="000C0F2E">
        <w:rPr>
          <w:rFonts w:ascii="Calibri" w:hAnsi="Calibri" w:cs="Calibri"/>
          <w:sz w:val="24"/>
          <w:szCs w:val="24"/>
        </w:rPr>
        <w:t>es this diversity and respects autonomy while seeking common ground for collaboration.</w:t>
      </w:r>
    </w:p>
    <w:p w14:paraId="4DAD2884" w14:textId="77777777" w:rsidR="000C0F2E" w:rsidRDefault="00000000" w:rsidP="000C0F2E">
      <w:pPr>
        <w:pStyle w:val="ListParagraph"/>
        <w:numPr>
          <w:ilvl w:val="0"/>
          <w:numId w:val="11"/>
        </w:numPr>
        <w:rPr>
          <w:rFonts w:ascii="Calibri" w:hAnsi="Calibri" w:cs="Calibri"/>
          <w:sz w:val="24"/>
          <w:szCs w:val="24"/>
        </w:rPr>
      </w:pPr>
      <w:r w:rsidRPr="000C0F2E">
        <w:rPr>
          <w:rFonts w:ascii="Calibri" w:hAnsi="Calibri" w:cs="Calibri"/>
          <w:sz w:val="24"/>
          <w:szCs w:val="24"/>
          <w:u w:val="single"/>
        </w:rPr>
        <w:t>Good governance and accountability</w:t>
      </w:r>
      <w:r w:rsidRPr="000C0F2E">
        <w:rPr>
          <w:rFonts w:ascii="Calibri" w:hAnsi="Calibri" w:cs="Calibri"/>
          <w:sz w:val="24"/>
          <w:szCs w:val="24"/>
        </w:rPr>
        <w:t>: Trust is built on transparency, accountability, and sound governance across all activities.</w:t>
      </w:r>
    </w:p>
    <w:p w14:paraId="71A1EB64" w14:textId="77777777" w:rsidR="000C0F2E" w:rsidRDefault="00000000" w:rsidP="000C0F2E">
      <w:pPr>
        <w:pStyle w:val="ListParagraph"/>
        <w:numPr>
          <w:ilvl w:val="0"/>
          <w:numId w:val="11"/>
        </w:numPr>
        <w:rPr>
          <w:rFonts w:ascii="Calibri" w:hAnsi="Calibri" w:cs="Calibri"/>
          <w:sz w:val="24"/>
          <w:szCs w:val="24"/>
        </w:rPr>
      </w:pPr>
      <w:r w:rsidRPr="000C0F2E">
        <w:rPr>
          <w:rFonts w:ascii="Calibri" w:hAnsi="Calibri" w:cs="Calibri"/>
          <w:sz w:val="24"/>
          <w:szCs w:val="24"/>
          <w:u w:val="single"/>
        </w:rPr>
        <w:lastRenderedPageBreak/>
        <w:t>Trust and collaboration</w:t>
      </w:r>
      <w:r w:rsidRPr="000C0F2E">
        <w:rPr>
          <w:rFonts w:ascii="Calibri" w:hAnsi="Calibri" w:cs="Calibri"/>
          <w:sz w:val="24"/>
          <w:szCs w:val="24"/>
        </w:rPr>
        <w:t>: Regular exchanges and cooperation foster stronger relationships among chambers and with Canadian government partners.</w:t>
      </w:r>
    </w:p>
    <w:p w14:paraId="7ADDB733" w14:textId="5C6AC3F0" w:rsidR="000C0F2E" w:rsidRDefault="00000000" w:rsidP="000C0F2E">
      <w:pPr>
        <w:pStyle w:val="ListParagraph"/>
        <w:numPr>
          <w:ilvl w:val="0"/>
          <w:numId w:val="11"/>
        </w:numPr>
        <w:rPr>
          <w:rFonts w:ascii="Calibri" w:hAnsi="Calibri" w:cs="Calibri"/>
          <w:sz w:val="24"/>
          <w:szCs w:val="24"/>
        </w:rPr>
      </w:pPr>
      <w:r w:rsidRPr="000C0F2E">
        <w:rPr>
          <w:rFonts w:ascii="Calibri" w:hAnsi="Calibri" w:cs="Calibri"/>
          <w:sz w:val="24"/>
          <w:szCs w:val="24"/>
          <w:u w:val="single"/>
        </w:rPr>
        <w:t>Efficiency and complementarity</w:t>
      </w:r>
      <w:r w:rsidRPr="000C0F2E">
        <w:rPr>
          <w:rFonts w:ascii="Calibri" w:hAnsi="Calibri" w:cs="Calibri"/>
          <w:sz w:val="24"/>
          <w:szCs w:val="24"/>
        </w:rPr>
        <w:t>: Working together helps avoid</w:t>
      </w:r>
      <w:r w:rsidR="000C0F2E">
        <w:rPr>
          <w:rFonts w:ascii="Calibri" w:hAnsi="Calibri" w:cs="Calibri"/>
          <w:sz w:val="24"/>
          <w:szCs w:val="24"/>
        </w:rPr>
        <w:t xml:space="preserve"> unnecessary</w:t>
      </w:r>
      <w:r w:rsidRPr="000C0F2E">
        <w:rPr>
          <w:rFonts w:ascii="Calibri" w:hAnsi="Calibri" w:cs="Calibri"/>
          <w:sz w:val="24"/>
          <w:szCs w:val="24"/>
        </w:rPr>
        <w:t xml:space="preserve"> duplication, leverages resources, and identifies synergies</w:t>
      </w:r>
      <w:r w:rsidR="000C0F2E">
        <w:rPr>
          <w:rFonts w:ascii="Calibri" w:hAnsi="Calibri" w:cs="Calibri"/>
          <w:sz w:val="24"/>
          <w:szCs w:val="24"/>
        </w:rPr>
        <w:t xml:space="preserve"> for cooperation</w:t>
      </w:r>
      <w:r w:rsidRPr="000C0F2E">
        <w:rPr>
          <w:rFonts w:ascii="Calibri" w:hAnsi="Calibri" w:cs="Calibri"/>
          <w:sz w:val="24"/>
          <w:szCs w:val="24"/>
        </w:rPr>
        <w:t>.</w:t>
      </w:r>
    </w:p>
    <w:p w14:paraId="7990C41C" w14:textId="1530C072" w:rsidR="00E017FD" w:rsidRPr="000C0F2E" w:rsidRDefault="00000000" w:rsidP="000C0F2E">
      <w:pPr>
        <w:pStyle w:val="ListParagraph"/>
        <w:numPr>
          <w:ilvl w:val="0"/>
          <w:numId w:val="11"/>
        </w:numPr>
        <w:rPr>
          <w:rFonts w:ascii="Calibri" w:hAnsi="Calibri" w:cs="Calibri"/>
          <w:sz w:val="24"/>
          <w:szCs w:val="24"/>
        </w:rPr>
      </w:pPr>
      <w:r w:rsidRPr="000C0F2E">
        <w:rPr>
          <w:rFonts w:ascii="Calibri" w:hAnsi="Calibri" w:cs="Calibri"/>
          <w:sz w:val="24"/>
          <w:szCs w:val="24"/>
          <w:u w:val="single"/>
        </w:rPr>
        <w:t>Inclusivity and flexibility</w:t>
      </w:r>
      <w:r w:rsidRPr="000C0F2E">
        <w:rPr>
          <w:rFonts w:ascii="Calibri" w:hAnsi="Calibri" w:cs="Calibri"/>
          <w:sz w:val="24"/>
          <w:szCs w:val="24"/>
        </w:rPr>
        <w:t>: The network recogni</w:t>
      </w:r>
      <w:r w:rsidR="006365D0">
        <w:rPr>
          <w:rFonts w:ascii="Calibri" w:hAnsi="Calibri" w:cs="Calibri"/>
          <w:sz w:val="24"/>
          <w:szCs w:val="24"/>
        </w:rPr>
        <w:t>z</w:t>
      </w:r>
      <w:r w:rsidRPr="000C0F2E">
        <w:rPr>
          <w:rFonts w:ascii="Calibri" w:hAnsi="Calibri" w:cs="Calibri"/>
          <w:sz w:val="24"/>
          <w:szCs w:val="24"/>
        </w:rPr>
        <w:t>es that chambers operate with diverse capacities and at varying levels of organi</w:t>
      </w:r>
      <w:r w:rsidR="006365D0">
        <w:rPr>
          <w:rFonts w:ascii="Calibri" w:hAnsi="Calibri" w:cs="Calibri"/>
          <w:sz w:val="24"/>
          <w:szCs w:val="24"/>
        </w:rPr>
        <w:t>z</w:t>
      </w:r>
      <w:r w:rsidRPr="000C0F2E">
        <w:rPr>
          <w:rFonts w:ascii="Calibri" w:hAnsi="Calibri" w:cs="Calibri"/>
          <w:sz w:val="24"/>
          <w:szCs w:val="24"/>
        </w:rPr>
        <w:t>ational strength and maturity, and is committed to ensuring that benefits are accessible to all members.</w:t>
      </w:r>
    </w:p>
    <w:p w14:paraId="370C7571" w14:textId="3ECAF00B" w:rsidR="000C0F2E" w:rsidRPr="006365D0" w:rsidRDefault="00000000" w:rsidP="006365D0">
      <w:pPr>
        <w:pStyle w:val="Heading1"/>
        <w:numPr>
          <w:ilvl w:val="0"/>
          <w:numId w:val="10"/>
        </w:numPr>
        <w:rPr>
          <w:rFonts w:ascii="Calibri" w:eastAsiaTheme="minorEastAsia" w:hAnsi="Calibri" w:cs="Calibri"/>
          <w:color w:val="auto"/>
          <w:sz w:val="24"/>
          <w:szCs w:val="24"/>
        </w:rPr>
      </w:pPr>
      <w:r w:rsidRPr="000C0F2E">
        <w:rPr>
          <w:rFonts w:ascii="Calibri" w:eastAsiaTheme="minorEastAsia" w:hAnsi="Calibri" w:cs="Calibri"/>
          <w:color w:val="auto"/>
          <w:sz w:val="24"/>
          <w:szCs w:val="24"/>
        </w:rPr>
        <w:t>Purposes of the Network</w:t>
      </w:r>
      <w:r w:rsidR="006365D0">
        <w:rPr>
          <w:rFonts w:ascii="Calibri" w:eastAsiaTheme="minorEastAsia" w:hAnsi="Calibri" w:cs="Calibri"/>
          <w:color w:val="auto"/>
          <w:sz w:val="24"/>
          <w:szCs w:val="24"/>
        </w:rPr>
        <w:br/>
      </w:r>
    </w:p>
    <w:p w14:paraId="11FE134F" w14:textId="44AF448D" w:rsidR="000C0F2E" w:rsidRPr="000C0F2E" w:rsidRDefault="00000000" w:rsidP="000C0F2E">
      <w:pPr>
        <w:pStyle w:val="ListParagraph"/>
        <w:numPr>
          <w:ilvl w:val="0"/>
          <w:numId w:val="12"/>
        </w:numPr>
        <w:rPr>
          <w:rFonts w:ascii="Calibri" w:hAnsi="Calibri" w:cs="Calibri"/>
          <w:sz w:val="24"/>
          <w:szCs w:val="24"/>
        </w:rPr>
      </w:pPr>
      <w:r w:rsidRPr="000C0F2E">
        <w:rPr>
          <w:rFonts w:ascii="Calibri" w:hAnsi="Calibri" w:cs="Calibri"/>
          <w:sz w:val="24"/>
          <w:szCs w:val="24"/>
          <w:u w:val="single"/>
        </w:rPr>
        <w:t>Building Trust</w:t>
      </w:r>
      <w:r w:rsidRPr="000C0F2E">
        <w:rPr>
          <w:rFonts w:ascii="Calibri" w:hAnsi="Calibri" w:cs="Calibri"/>
          <w:sz w:val="24"/>
          <w:szCs w:val="24"/>
        </w:rPr>
        <w:t xml:space="preserve">: Establishing regular meetings and exchanges to </w:t>
      </w:r>
      <w:r w:rsidR="00EB268A" w:rsidRPr="000C0F2E">
        <w:rPr>
          <w:rFonts w:ascii="Calibri" w:hAnsi="Calibri" w:cs="Calibri"/>
          <w:sz w:val="24"/>
          <w:szCs w:val="24"/>
        </w:rPr>
        <w:t>institutionali</w:t>
      </w:r>
      <w:r w:rsidR="00EB268A">
        <w:rPr>
          <w:rFonts w:ascii="Calibri" w:hAnsi="Calibri" w:cs="Calibri"/>
          <w:sz w:val="24"/>
          <w:szCs w:val="24"/>
        </w:rPr>
        <w:t>z</w:t>
      </w:r>
      <w:r w:rsidR="00EB268A" w:rsidRPr="000C0F2E">
        <w:rPr>
          <w:rFonts w:ascii="Calibri" w:hAnsi="Calibri" w:cs="Calibri"/>
          <w:sz w:val="24"/>
          <w:szCs w:val="24"/>
        </w:rPr>
        <w:t xml:space="preserve">e </w:t>
      </w:r>
      <w:r w:rsidRPr="000C0F2E">
        <w:rPr>
          <w:rFonts w:ascii="Calibri" w:hAnsi="Calibri" w:cs="Calibri"/>
          <w:sz w:val="24"/>
          <w:szCs w:val="24"/>
        </w:rPr>
        <w:t xml:space="preserve">relationships and strengthen trust </w:t>
      </w:r>
      <w:r w:rsidR="00F974BF">
        <w:rPr>
          <w:rFonts w:ascii="Calibri" w:hAnsi="Calibri" w:cs="Calibri"/>
          <w:sz w:val="24"/>
          <w:szCs w:val="24"/>
        </w:rPr>
        <w:t>between</w:t>
      </w:r>
      <w:r w:rsidR="00F974BF" w:rsidRPr="000C0F2E">
        <w:rPr>
          <w:rFonts w:ascii="Calibri" w:hAnsi="Calibri" w:cs="Calibri"/>
          <w:sz w:val="24"/>
          <w:szCs w:val="24"/>
        </w:rPr>
        <w:t xml:space="preserve"> </w:t>
      </w:r>
      <w:r w:rsidR="00F974BF">
        <w:rPr>
          <w:rFonts w:ascii="Calibri" w:hAnsi="Calibri" w:cs="Calibri"/>
          <w:sz w:val="24"/>
          <w:szCs w:val="24"/>
        </w:rPr>
        <w:t xml:space="preserve">member </w:t>
      </w:r>
      <w:r w:rsidRPr="000C0F2E">
        <w:rPr>
          <w:rFonts w:ascii="Calibri" w:hAnsi="Calibri" w:cs="Calibri"/>
          <w:sz w:val="24"/>
          <w:szCs w:val="24"/>
        </w:rPr>
        <w:t>chambers</w:t>
      </w:r>
      <w:r w:rsidR="00F974BF">
        <w:rPr>
          <w:rFonts w:ascii="Calibri" w:hAnsi="Calibri" w:cs="Calibri"/>
          <w:sz w:val="24"/>
          <w:szCs w:val="24"/>
        </w:rPr>
        <w:t>,</w:t>
      </w:r>
      <w:r w:rsidRPr="000C0F2E">
        <w:rPr>
          <w:rFonts w:ascii="Calibri" w:hAnsi="Calibri" w:cs="Calibri"/>
          <w:sz w:val="24"/>
          <w:szCs w:val="24"/>
        </w:rPr>
        <w:t xml:space="preserve"> and with government partners.</w:t>
      </w:r>
    </w:p>
    <w:p w14:paraId="32EC4A6A" w14:textId="10F2850E" w:rsidR="000C0F2E" w:rsidRDefault="00000000" w:rsidP="000C0F2E">
      <w:pPr>
        <w:pStyle w:val="ListParagraph"/>
        <w:numPr>
          <w:ilvl w:val="0"/>
          <w:numId w:val="12"/>
        </w:numPr>
        <w:rPr>
          <w:rFonts w:ascii="Calibri" w:hAnsi="Calibri" w:cs="Calibri"/>
          <w:sz w:val="24"/>
          <w:szCs w:val="24"/>
        </w:rPr>
      </w:pPr>
      <w:r w:rsidRPr="000C0F2E">
        <w:rPr>
          <w:rFonts w:ascii="Calibri" w:hAnsi="Calibri" w:cs="Calibri"/>
          <w:sz w:val="24"/>
          <w:szCs w:val="24"/>
          <w:u w:val="single"/>
        </w:rPr>
        <w:t>Building Capacity</w:t>
      </w:r>
      <w:r w:rsidRPr="000C0F2E">
        <w:rPr>
          <w:rFonts w:ascii="Calibri" w:hAnsi="Calibri" w:cs="Calibri"/>
          <w:sz w:val="24"/>
          <w:szCs w:val="24"/>
        </w:rPr>
        <w:t xml:space="preserve">: Supporting chambers through </w:t>
      </w:r>
      <w:r w:rsidR="00F974BF">
        <w:rPr>
          <w:rFonts w:ascii="Calibri" w:hAnsi="Calibri" w:cs="Calibri"/>
          <w:sz w:val="24"/>
          <w:szCs w:val="24"/>
        </w:rPr>
        <w:t xml:space="preserve">the sharing of </w:t>
      </w:r>
      <w:r w:rsidRPr="000C0F2E">
        <w:rPr>
          <w:rFonts w:ascii="Calibri" w:hAnsi="Calibri" w:cs="Calibri"/>
          <w:sz w:val="24"/>
          <w:szCs w:val="24"/>
        </w:rPr>
        <w:t>knowledge, best practices, and mentorship opportunities, enabling all member</w:t>
      </w:r>
      <w:r w:rsidR="00F974BF">
        <w:rPr>
          <w:rFonts w:ascii="Calibri" w:hAnsi="Calibri" w:cs="Calibri"/>
          <w:sz w:val="24"/>
          <w:szCs w:val="24"/>
        </w:rPr>
        <w:t xml:space="preserve"> organization</w:t>
      </w:r>
      <w:r w:rsidRPr="000C0F2E">
        <w:rPr>
          <w:rFonts w:ascii="Calibri" w:hAnsi="Calibri" w:cs="Calibri"/>
          <w:sz w:val="24"/>
          <w:szCs w:val="24"/>
        </w:rPr>
        <w:t xml:space="preserve">s to grow and </w:t>
      </w:r>
      <w:r w:rsidR="00F974BF" w:rsidRPr="000C0F2E">
        <w:rPr>
          <w:rFonts w:ascii="Calibri" w:hAnsi="Calibri" w:cs="Calibri"/>
          <w:sz w:val="24"/>
          <w:szCs w:val="24"/>
        </w:rPr>
        <w:t>professionali</w:t>
      </w:r>
      <w:r w:rsidR="00F974BF">
        <w:rPr>
          <w:rFonts w:ascii="Calibri" w:hAnsi="Calibri" w:cs="Calibri"/>
          <w:sz w:val="24"/>
          <w:szCs w:val="24"/>
        </w:rPr>
        <w:t>z</w:t>
      </w:r>
      <w:r w:rsidR="00F974BF" w:rsidRPr="000C0F2E">
        <w:rPr>
          <w:rFonts w:ascii="Calibri" w:hAnsi="Calibri" w:cs="Calibri"/>
          <w:sz w:val="24"/>
          <w:szCs w:val="24"/>
        </w:rPr>
        <w:t>e</w:t>
      </w:r>
      <w:r w:rsidRPr="000C0F2E">
        <w:rPr>
          <w:rFonts w:ascii="Calibri" w:hAnsi="Calibri" w:cs="Calibri"/>
          <w:sz w:val="24"/>
          <w:szCs w:val="24"/>
        </w:rPr>
        <w:t>.</w:t>
      </w:r>
    </w:p>
    <w:p w14:paraId="5B8B0658" w14:textId="77777777" w:rsidR="000C0F2E" w:rsidRDefault="00000000" w:rsidP="000C0F2E">
      <w:pPr>
        <w:pStyle w:val="ListParagraph"/>
        <w:numPr>
          <w:ilvl w:val="0"/>
          <w:numId w:val="12"/>
        </w:numPr>
        <w:rPr>
          <w:rFonts w:ascii="Calibri" w:hAnsi="Calibri" w:cs="Calibri"/>
          <w:sz w:val="24"/>
          <w:szCs w:val="24"/>
        </w:rPr>
      </w:pPr>
      <w:r w:rsidRPr="000C0F2E">
        <w:rPr>
          <w:rFonts w:ascii="Calibri" w:hAnsi="Calibri" w:cs="Calibri"/>
          <w:sz w:val="24"/>
          <w:szCs w:val="24"/>
          <w:u w:val="single"/>
        </w:rPr>
        <w:t>Finding Common Ground</w:t>
      </w:r>
      <w:r w:rsidRPr="000C0F2E">
        <w:rPr>
          <w:rFonts w:ascii="Calibri" w:hAnsi="Calibri" w:cs="Calibri"/>
          <w:sz w:val="24"/>
          <w:szCs w:val="24"/>
        </w:rPr>
        <w:t>: Identifying areas of mutual interest and collaboration to use resources efficiently and deliver greater impact.</w:t>
      </w:r>
    </w:p>
    <w:p w14:paraId="0A4D0345" w14:textId="3A234F6E" w:rsidR="00E017FD" w:rsidRPr="000C0F2E" w:rsidRDefault="00000000" w:rsidP="000C0F2E">
      <w:pPr>
        <w:pStyle w:val="ListParagraph"/>
        <w:numPr>
          <w:ilvl w:val="0"/>
          <w:numId w:val="12"/>
        </w:numPr>
        <w:rPr>
          <w:rFonts w:ascii="Calibri" w:hAnsi="Calibri" w:cs="Calibri"/>
          <w:sz w:val="24"/>
          <w:szCs w:val="24"/>
        </w:rPr>
      </w:pPr>
      <w:r w:rsidRPr="000C0F2E">
        <w:rPr>
          <w:rFonts w:ascii="Calibri" w:hAnsi="Calibri" w:cs="Calibri"/>
          <w:sz w:val="24"/>
          <w:szCs w:val="24"/>
          <w:u w:val="single"/>
        </w:rPr>
        <w:t>Expanding Networks and Value</w:t>
      </w:r>
      <w:r w:rsidRPr="000C0F2E">
        <w:rPr>
          <w:rFonts w:ascii="Calibri" w:hAnsi="Calibri" w:cs="Calibri"/>
          <w:sz w:val="24"/>
          <w:szCs w:val="24"/>
        </w:rPr>
        <w:t>: Offering additional value to CanCham members by broadening connections within Europe, with Canada, and with CanChams in other regions.</w:t>
      </w:r>
    </w:p>
    <w:p w14:paraId="30DFD1B6" w14:textId="3D3B4381" w:rsidR="000C0F2E" w:rsidRPr="006365D0" w:rsidRDefault="00000000" w:rsidP="000C0F2E">
      <w:pPr>
        <w:pStyle w:val="Heading1"/>
        <w:numPr>
          <w:ilvl w:val="0"/>
          <w:numId w:val="10"/>
        </w:numPr>
        <w:rPr>
          <w:rFonts w:ascii="Calibri" w:eastAsiaTheme="minorEastAsia" w:hAnsi="Calibri" w:cs="Calibri"/>
          <w:color w:val="auto"/>
          <w:sz w:val="24"/>
          <w:szCs w:val="24"/>
        </w:rPr>
      </w:pPr>
      <w:r w:rsidRPr="000C0F2E">
        <w:rPr>
          <w:rFonts w:ascii="Calibri" w:eastAsiaTheme="minorEastAsia" w:hAnsi="Calibri" w:cs="Calibri"/>
          <w:color w:val="auto"/>
          <w:sz w:val="24"/>
          <w:szCs w:val="24"/>
        </w:rPr>
        <w:t>Membership Framework</w:t>
      </w:r>
      <w:r w:rsidR="006365D0">
        <w:rPr>
          <w:rFonts w:ascii="Calibri" w:eastAsiaTheme="minorEastAsia" w:hAnsi="Calibri" w:cs="Calibri"/>
          <w:color w:val="auto"/>
          <w:sz w:val="24"/>
          <w:szCs w:val="24"/>
        </w:rPr>
        <w:br/>
      </w:r>
    </w:p>
    <w:p w14:paraId="28D6AD95" w14:textId="74715BDA" w:rsidR="000C0F2E" w:rsidRDefault="00000000" w:rsidP="000C0F2E">
      <w:pPr>
        <w:pStyle w:val="ListParagraph"/>
        <w:numPr>
          <w:ilvl w:val="0"/>
          <w:numId w:val="14"/>
        </w:numPr>
        <w:rPr>
          <w:rFonts w:ascii="Calibri" w:hAnsi="Calibri" w:cs="Calibri"/>
          <w:sz w:val="24"/>
          <w:szCs w:val="24"/>
        </w:rPr>
      </w:pPr>
      <w:r w:rsidRPr="000C0F2E">
        <w:rPr>
          <w:rFonts w:ascii="Calibri" w:hAnsi="Calibri" w:cs="Calibri"/>
          <w:sz w:val="24"/>
          <w:szCs w:val="24"/>
          <w:u w:val="single"/>
        </w:rPr>
        <w:t>Eligibility</w:t>
      </w:r>
      <w:r w:rsidRPr="000C0F2E">
        <w:rPr>
          <w:rFonts w:ascii="Calibri" w:hAnsi="Calibri" w:cs="Calibri"/>
          <w:sz w:val="24"/>
          <w:szCs w:val="24"/>
        </w:rPr>
        <w:t xml:space="preserve">: Membership is open to </w:t>
      </w:r>
      <w:r w:rsidR="005453F1">
        <w:rPr>
          <w:rFonts w:ascii="Calibri" w:hAnsi="Calibri" w:cs="Calibri"/>
          <w:sz w:val="24"/>
          <w:szCs w:val="24"/>
        </w:rPr>
        <w:t xml:space="preserve">all </w:t>
      </w:r>
      <w:r w:rsidRPr="000C0F2E">
        <w:rPr>
          <w:rFonts w:ascii="Calibri" w:hAnsi="Calibri" w:cs="Calibri"/>
          <w:sz w:val="24"/>
          <w:szCs w:val="24"/>
        </w:rPr>
        <w:t>Canadian bilateral chambers of commerce and Canadian business associations based in Europe.</w:t>
      </w:r>
    </w:p>
    <w:p w14:paraId="0928AD67" w14:textId="77777777" w:rsidR="000C0F2E" w:rsidRDefault="00000000" w:rsidP="000C0F2E">
      <w:pPr>
        <w:pStyle w:val="ListParagraph"/>
        <w:numPr>
          <w:ilvl w:val="0"/>
          <w:numId w:val="14"/>
        </w:numPr>
        <w:rPr>
          <w:rFonts w:ascii="Calibri" w:hAnsi="Calibri" w:cs="Calibri"/>
          <w:sz w:val="24"/>
          <w:szCs w:val="24"/>
        </w:rPr>
      </w:pPr>
      <w:r w:rsidRPr="000C0F2E">
        <w:rPr>
          <w:rFonts w:ascii="Calibri" w:hAnsi="Calibri" w:cs="Calibri"/>
          <w:sz w:val="24"/>
          <w:szCs w:val="24"/>
          <w:u w:val="single"/>
        </w:rPr>
        <w:t>Conditions of Membership</w:t>
      </w:r>
      <w:r w:rsidRPr="000C0F2E">
        <w:rPr>
          <w:rFonts w:ascii="Calibri" w:hAnsi="Calibri" w:cs="Calibri"/>
          <w:sz w:val="24"/>
          <w:szCs w:val="24"/>
        </w:rPr>
        <w:t>:</w:t>
      </w:r>
    </w:p>
    <w:p w14:paraId="73C1177D" w14:textId="7555E544" w:rsidR="000C0F2E" w:rsidRDefault="00000000" w:rsidP="000C0F2E">
      <w:pPr>
        <w:pStyle w:val="ListParagraph"/>
        <w:numPr>
          <w:ilvl w:val="0"/>
          <w:numId w:val="15"/>
        </w:numPr>
        <w:rPr>
          <w:rFonts w:ascii="Calibri" w:hAnsi="Calibri" w:cs="Calibri"/>
          <w:sz w:val="24"/>
          <w:szCs w:val="24"/>
        </w:rPr>
      </w:pPr>
      <w:r w:rsidRPr="000C0F2E">
        <w:rPr>
          <w:rFonts w:ascii="Calibri" w:hAnsi="Calibri" w:cs="Calibri"/>
          <w:sz w:val="24"/>
          <w:szCs w:val="24"/>
        </w:rPr>
        <w:t>Each member must be constituted as a legal not-for-profit entity</w:t>
      </w:r>
      <w:r w:rsidR="00E84E72">
        <w:rPr>
          <w:rFonts w:ascii="Calibri" w:hAnsi="Calibri" w:cs="Calibri"/>
          <w:sz w:val="24"/>
          <w:szCs w:val="24"/>
        </w:rPr>
        <w:t xml:space="preserve"> (or equivalent in their respective jurisdictions)</w:t>
      </w:r>
      <w:r w:rsidRPr="000C0F2E">
        <w:rPr>
          <w:rFonts w:ascii="Calibri" w:hAnsi="Calibri" w:cs="Calibri"/>
          <w:sz w:val="24"/>
          <w:szCs w:val="24"/>
        </w:rPr>
        <w:t>.</w:t>
      </w:r>
    </w:p>
    <w:p w14:paraId="590E9F39" w14:textId="77777777" w:rsidR="000C0F2E" w:rsidRDefault="00000000" w:rsidP="000C0F2E">
      <w:pPr>
        <w:pStyle w:val="ListParagraph"/>
        <w:numPr>
          <w:ilvl w:val="0"/>
          <w:numId w:val="15"/>
        </w:numPr>
        <w:rPr>
          <w:rFonts w:ascii="Calibri" w:hAnsi="Calibri" w:cs="Calibri"/>
          <w:sz w:val="24"/>
          <w:szCs w:val="24"/>
        </w:rPr>
      </w:pPr>
      <w:r w:rsidRPr="000C0F2E">
        <w:rPr>
          <w:rFonts w:ascii="Calibri" w:hAnsi="Calibri" w:cs="Calibri"/>
          <w:sz w:val="24"/>
          <w:szCs w:val="24"/>
        </w:rPr>
        <w:t>Each member must maintain an independent management or governance structure.</w:t>
      </w:r>
    </w:p>
    <w:p w14:paraId="62DB6D18" w14:textId="38C7383C" w:rsidR="000C0F2E" w:rsidRPr="000C0F2E" w:rsidRDefault="00000000" w:rsidP="000C0F2E">
      <w:pPr>
        <w:pStyle w:val="ListParagraph"/>
        <w:numPr>
          <w:ilvl w:val="0"/>
          <w:numId w:val="15"/>
        </w:numPr>
        <w:rPr>
          <w:rFonts w:ascii="Calibri" w:hAnsi="Calibri" w:cs="Calibri"/>
          <w:sz w:val="24"/>
          <w:szCs w:val="24"/>
        </w:rPr>
      </w:pPr>
      <w:r w:rsidRPr="000C0F2E">
        <w:rPr>
          <w:rFonts w:ascii="Calibri" w:hAnsi="Calibri" w:cs="Calibri"/>
          <w:sz w:val="24"/>
          <w:szCs w:val="24"/>
        </w:rPr>
        <w:t xml:space="preserve">Each member must </w:t>
      </w:r>
      <w:r w:rsidR="000C0F2E">
        <w:rPr>
          <w:rFonts w:ascii="Calibri" w:hAnsi="Calibri" w:cs="Calibri"/>
          <w:sz w:val="24"/>
          <w:szCs w:val="24"/>
        </w:rPr>
        <w:t>operate</w:t>
      </w:r>
      <w:r w:rsidRPr="000C0F2E">
        <w:rPr>
          <w:rFonts w:ascii="Calibri" w:hAnsi="Calibri" w:cs="Calibri"/>
          <w:sz w:val="24"/>
          <w:szCs w:val="24"/>
        </w:rPr>
        <w:t xml:space="preserve"> its own </w:t>
      </w:r>
      <w:r w:rsidR="000C0F2E">
        <w:rPr>
          <w:rFonts w:ascii="Calibri" w:hAnsi="Calibri" w:cs="Calibri"/>
          <w:sz w:val="24"/>
          <w:szCs w:val="24"/>
        </w:rPr>
        <w:t xml:space="preserve">separate </w:t>
      </w:r>
      <w:r w:rsidRPr="000C0F2E">
        <w:rPr>
          <w:rFonts w:ascii="Calibri" w:hAnsi="Calibri" w:cs="Calibri"/>
          <w:sz w:val="24"/>
          <w:szCs w:val="24"/>
        </w:rPr>
        <w:t>bank account.</w:t>
      </w:r>
    </w:p>
    <w:p w14:paraId="28F6F848" w14:textId="01C39F6A" w:rsidR="000C0F2E" w:rsidRPr="000C0F2E" w:rsidRDefault="00E84E72" w:rsidP="000C0F2E">
      <w:pPr>
        <w:pStyle w:val="ListParagraph"/>
        <w:numPr>
          <w:ilvl w:val="0"/>
          <w:numId w:val="15"/>
        </w:numPr>
        <w:rPr>
          <w:rFonts w:ascii="Calibri" w:hAnsi="Calibri" w:cs="Calibri"/>
          <w:sz w:val="24"/>
          <w:szCs w:val="24"/>
        </w:rPr>
      </w:pPr>
      <w:r>
        <w:rPr>
          <w:rFonts w:ascii="Calibri" w:hAnsi="Calibri" w:cs="Calibri"/>
          <w:sz w:val="24"/>
          <w:szCs w:val="24"/>
        </w:rPr>
        <w:t>Payment of an a</w:t>
      </w:r>
      <w:r w:rsidRPr="000C0F2E">
        <w:rPr>
          <w:rFonts w:ascii="Calibri" w:hAnsi="Calibri" w:cs="Calibri"/>
          <w:sz w:val="24"/>
          <w:szCs w:val="24"/>
        </w:rPr>
        <w:t>nnual membership fee</w:t>
      </w:r>
    </w:p>
    <w:p w14:paraId="0D9EF82E" w14:textId="5D273452" w:rsidR="00E017FD" w:rsidRPr="0077534E" w:rsidRDefault="00000000" w:rsidP="0077534E">
      <w:pPr>
        <w:pStyle w:val="ListParagraph"/>
        <w:numPr>
          <w:ilvl w:val="0"/>
          <w:numId w:val="14"/>
        </w:numPr>
        <w:rPr>
          <w:rFonts w:ascii="Calibri" w:hAnsi="Calibri" w:cs="Calibri"/>
          <w:sz w:val="24"/>
          <w:szCs w:val="24"/>
          <w:u w:val="single"/>
        </w:rPr>
      </w:pPr>
      <w:r w:rsidRPr="0077534E">
        <w:rPr>
          <w:rFonts w:ascii="Calibri" w:hAnsi="Calibri" w:cs="Calibri"/>
          <w:sz w:val="24"/>
          <w:szCs w:val="24"/>
          <w:u w:val="single"/>
        </w:rPr>
        <w:t>Recognition of Diversity</w:t>
      </w:r>
      <w:r w:rsidRPr="0077534E">
        <w:rPr>
          <w:rFonts w:ascii="Calibri" w:hAnsi="Calibri" w:cs="Calibri"/>
          <w:sz w:val="24"/>
          <w:szCs w:val="24"/>
        </w:rPr>
        <w:t xml:space="preserve">: The network acknowledges that </w:t>
      </w:r>
      <w:r w:rsidR="0077534E" w:rsidRPr="0077534E">
        <w:rPr>
          <w:rFonts w:ascii="Calibri" w:hAnsi="Calibri" w:cs="Calibri"/>
          <w:sz w:val="24"/>
          <w:szCs w:val="24"/>
        </w:rPr>
        <w:t>Chambers function at different levels of capacity and organizational evolution</w:t>
      </w:r>
      <w:r w:rsidRPr="0077534E">
        <w:rPr>
          <w:rFonts w:ascii="Calibri" w:hAnsi="Calibri" w:cs="Calibri"/>
          <w:sz w:val="24"/>
          <w:szCs w:val="24"/>
        </w:rPr>
        <w:t xml:space="preserve">. The benefits derived </w:t>
      </w:r>
      <w:proofErr w:type="gramStart"/>
      <w:r w:rsidR="0077534E">
        <w:rPr>
          <w:rFonts w:ascii="Calibri" w:hAnsi="Calibri" w:cs="Calibri"/>
          <w:sz w:val="24"/>
          <w:szCs w:val="24"/>
        </w:rPr>
        <w:t xml:space="preserve">may </w:t>
      </w:r>
      <w:r w:rsidRPr="0077534E">
        <w:rPr>
          <w:rFonts w:ascii="Calibri" w:hAnsi="Calibri" w:cs="Calibri"/>
          <w:sz w:val="24"/>
          <w:szCs w:val="24"/>
        </w:rPr>
        <w:t xml:space="preserve"> vary</w:t>
      </w:r>
      <w:proofErr w:type="gramEnd"/>
      <w:r w:rsidRPr="0077534E">
        <w:rPr>
          <w:rFonts w:ascii="Calibri" w:hAnsi="Calibri" w:cs="Calibri"/>
          <w:sz w:val="24"/>
          <w:szCs w:val="24"/>
        </w:rPr>
        <w:t xml:space="preserve"> accordingly, but all members should see value in participation.</w:t>
      </w:r>
    </w:p>
    <w:p w14:paraId="26A3AAB8" w14:textId="259972E6" w:rsidR="00E017FD" w:rsidRPr="006365D0" w:rsidRDefault="00000000" w:rsidP="006365D0">
      <w:pPr>
        <w:pStyle w:val="Heading1"/>
        <w:numPr>
          <w:ilvl w:val="0"/>
          <w:numId w:val="10"/>
        </w:numPr>
        <w:rPr>
          <w:rFonts w:ascii="Calibri" w:eastAsiaTheme="minorEastAsia" w:hAnsi="Calibri" w:cs="Calibri"/>
          <w:color w:val="auto"/>
          <w:sz w:val="24"/>
          <w:szCs w:val="24"/>
        </w:rPr>
      </w:pPr>
      <w:r w:rsidRPr="006365D0">
        <w:rPr>
          <w:rFonts w:ascii="Calibri" w:eastAsiaTheme="minorEastAsia" w:hAnsi="Calibri" w:cs="Calibri"/>
          <w:color w:val="auto"/>
          <w:sz w:val="24"/>
          <w:szCs w:val="24"/>
        </w:rPr>
        <w:lastRenderedPageBreak/>
        <w:t>Membership Benefits</w:t>
      </w:r>
      <w:r w:rsidR="006365D0">
        <w:rPr>
          <w:rFonts w:ascii="Calibri" w:eastAsiaTheme="minorEastAsia" w:hAnsi="Calibri" w:cs="Calibri"/>
          <w:color w:val="auto"/>
          <w:sz w:val="24"/>
          <w:szCs w:val="24"/>
        </w:rPr>
        <w:br/>
      </w:r>
    </w:p>
    <w:p w14:paraId="70836058" w14:textId="77777777" w:rsidR="000C0F2E" w:rsidRDefault="00000000" w:rsidP="000C0F2E">
      <w:pPr>
        <w:pStyle w:val="ListParagraph"/>
        <w:numPr>
          <w:ilvl w:val="0"/>
          <w:numId w:val="16"/>
        </w:numPr>
        <w:rPr>
          <w:rFonts w:ascii="Calibri" w:hAnsi="Calibri" w:cs="Calibri"/>
          <w:sz w:val="24"/>
          <w:szCs w:val="24"/>
        </w:rPr>
      </w:pPr>
      <w:r w:rsidRPr="000C0F2E">
        <w:rPr>
          <w:rFonts w:ascii="Calibri" w:hAnsi="Calibri" w:cs="Calibri"/>
          <w:sz w:val="24"/>
          <w:szCs w:val="24"/>
        </w:rPr>
        <w:t>Access to peer learning, mentorship, and best practices.</w:t>
      </w:r>
    </w:p>
    <w:p w14:paraId="77B95D28" w14:textId="77777777" w:rsidR="000C0F2E" w:rsidRDefault="00000000" w:rsidP="000C0F2E">
      <w:pPr>
        <w:pStyle w:val="ListParagraph"/>
        <w:numPr>
          <w:ilvl w:val="0"/>
          <w:numId w:val="16"/>
        </w:numPr>
        <w:rPr>
          <w:rFonts w:ascii="Calibri" w:hAnsi="Calibri" w:cs="Calibri"/>
          <w:sz w:val="24"/>
          <w:szCs w:val="24"/>
        </w:rPr>
      </w:pPr>
      <w:r w:rsidRPr="000C0F2E">
        <w:rPr>
          <w:rFonts w:ascii="Calibri" w:hAnsi="Calibri" w:cs="Calibri"/>
          <w:sz w:val="24"/>
          <w:szCs w:val="24"/>
        </w:rPr>
        <w:t>Enhanced visibility and networking opportunities across Europe and Canada.</w:t>
      </w:r>
    </w:p>
    <w:p w14:paraId="50A622D9" w14:textId="77777777" w:rsidR="000C0F2E" w:rsidRDefault="00000000" w:rsidP="000C0F2E">
      <w:pPr>
        <w:pStyle w:val="ListParagraph"/>
        <w:numPr>
          <w:ilvl w:val="0"/>
          <w:numId w:val="16"/>
        </w:numPr>
        <w:rPr>
          <w:rFonts w:ascii="Calibri" w:hAnsi="Calibri" w:cs="Calibri"/>
          <w:sz w:val="24"/>
          <w:szCs w:val="24"/>
        </w:rPr>
      </w:pPr>
      <w:r w:rsidRPr="000C0F2E">
        <w:rPr>
          <w:rFonts w:ascii="Calibri" w:hAnsi="Calibri" w:cs="Calibri"/>
          <w:sz w:val="24"/>
          <w:szCs w:val="24"/>
        </w:rPr>
        <w:t>Collective engagement with TCS, EDC, and provincial partners.</w:t>
      </w:r>
    </w:p>
    <w:p w14:paraId="018EF2F4" w14:textId="1AAE2006" w:rsidR="0077534E" w:rsidRDefault="00000000" w:rsidP="000C0F2E">
      <w:pPr>
        <w:pStyle w:val="ListParagraph"/>
        <w:numPr>
          <w:ilvl w:val="0"/>
          <w:numId w:val="16"/>
        </w:numPr>
        <w:rPr>
          <w:rFonts w:ascii="Calibri" w:hAnsi="Calibri" w:cs="Calibri"/>
          <w:sz w:val="24"/>
          <w:szCs w:val="24"/>
        </w:rPr>
      </w:pPr>
      <w:r w:rsidRPr="000C0F2E">
        <w:rPr>
          <w:rFonts w:ascii="Calibri" w:hAnsi="Calibri" w:cs="Calibri"/>
          <w:sz w:val="24"/>
          <w:szCs w:val="24"/>
        </w:rPr>
        <w:t>Participation in joint initiatives</w:t>
      </w:r>
      <w:r w:rsidR="0077534E">
        <w:rPr>
          <w:rFonts w:ascii="Calibri" w:hAnsi="Calibri" w:cs="Calibri"/>
          <w:sz w:val="24"/>
          <w:szCs w:val="24"/>
        </w:rPr>
        <w:t xml:space="preserve"> including</w:t>
      </w:r>
      <w:r w:rsidRPr="000C0F2E">
        <w:rPr>
          <w:rFonts w:ascii="Calibri" w:hAnsi="Calibri" w:cs="Calibri"/>
          <w:sz w:val="24"/>
          <w:szCs w:val="24"/>
        </w:rPr>
        <w:t xml:space="preserve"> </w:t>
      </w:r>
      <w:r w:rsidR="0077534E">
        <w:rPr>
          <w:rFonts w:ascii="Calibri" w:hAnsi="Calibri" w:cs="Calibri"/>
          <w:sz w:val="24"/>
          <w:szCs w:val="24"/>
        </w:rPr>
        <w:t xml:space="preserve">an </w:t>
      </w:r>
      <w:r w:rsidRPr="000C0F2E">
        <w:rPr>
          <w:rFonts w:ascii="Calibri" w:hAnsi="Calibri" w:cs="Calibri"/>
          <w:sz w:val="24"/>
          <w:szCs w:val="24"/>
        </w:rPr>
        <w:t xml:space="preserve">annual European </w:t>
      </w:r>
      <w:r w:rsidR="0077534E">
        <w:rPr>
          <w:rFonts w:ascii="Calibri" w:hAnsi="Calibri" w:cs="Calibri"/>
          <w:sz w:val="24"/>
          <w:szCs w:val="24"/>
        </w:rPr>
        <w:t xml:space="preserve">CanCham conference and other thematic or regional </w:t>
      </w:r>
      <w:r w:rsidRPr="000C0F2E">
        <w:rPr>
          <w:rFonts w:ascii="Calibri" w:hAnsi="Calibri" w:cs="Calibri"/>
          <w:sz w:val="24"/>
          <w:szCs w:val="24"/>
        </w:rPr>
        <w:t>meeting</w:t>
      </w:r>
      <w:r w:rsidR="0077534E">
        <w:rPr>
          <w:rFonts w:ascii="Calibri" w:hAnsi="Calibri" w:cs="Calibri"/>
          <w:sz w:val="24"/>
          <w:szCs w:val="24"/>
        </w:rPr>
        <w:t>s</w:t>
      </w:r>
      <w:r w:rsidRPr="000C0F2E">
        <w:rPr>
          <w:rFonts w:ascii="Calibri" w:hAnsi="Calibri" w:cs="Calibri"/>
          <w:sz w:val="24"/>
          <w:szCs w:val="24"/>
        </w:rPr>
        <w:t xml:space="preserve">, </w:t>
      </w:r>
      <w:r w:rsidR="0077534E">
        <w:rPr>
          <w:rFonts w:ascii="Calibri" w:hAnsi="Calibri" w:cs="Calibri"/>
          <w:sz w:val="24"/>
          <w:szCs w:val="24"/>
        </w:rPr>
        <w:t xml:space="preserve">and </w:t>
      </w:r>
      <w:r w:rsidRPr="000C0F2E">
        <w:rPr>
          <w:rFonts w:ascii="Calibri" w:hAnsi="Calibri" w:cs="Calibri"/>
          <w:sz w:val="24"/>
          <w:szCs w:val="24"/>
        </w:rPr>
        <w:t>biennial trade mission</w:t>
      </w:r>
      <w:r w:rsidR="0077534E">
        <w:rPr>
          <w:rFonts w:ascii="Calibri" w:hAnsi="Calibri" w:cs="Calibri"/>
          <w:sz w:val="24"/>
          <w:szCs w:val="24"/>
        </w:rPr>
        <w:t>s</w:t>
      </w:r>
      <w:r w:rsidRPr="000C0F2E">
        <w:rPr>
          <w:rFonts w:ascii="Calibri" w:hAnsi="Calibri" w:cs="Calibri"/>
          <w:sz w:val="24"/>
          <w:szCs w:val="24"/>
        </w:rPr>
        <w:t xml:space="preserve"> to Canada, </w:t>
      </w:r>
    </w:p>
    <w:p w14:paraId="316DC143" w14:textId="263605F3" w:rsidR="000C0F2E" w:rsidRDefault="00000000" w:rsidP="000C0F2E">
      <w:pPr>
        <w:pStyle w:val="ListParagraph"/>
        <w:numPr>
          <w:ilvl w:val="0"/>
          <w:numId w:val="16"/>
        </w:numPr>
        <w:rPr>
          <w:rFonts w:ascii="Calibri" w:hAnsi="Calibri" w:cs="Calibri"/>
          <w:sz w:val="24"/>
          <w:szCs w:val="24"/>
        </w:rPr>
      </w:pPr>
      <w:r w:rsidRPr="000C0F2E">
        <w:rPr>
          <w:rFonts w:ascii="Calibri" w:hAnsi="Calibri" w:cs="Calibri"/>
          <w:sz w:val="24"/>
          <w:szCs w:val="24"/>
        </w:rPr>
        <w:t>shared branding opportunities.</w:t>
      </w:r>
    </w:p>
    <w:p w14:paraId="1FCD8D30" w14:textId="748B1BEB" w:rsidR="000C0F2E" w:rsidRPr="000C0F2E" w:rsidRDefault="00000000" w:rsidP="000C0F2E">
      <w:pPr>
        <w:pStyle w:val="ListParagraph"/>
        <w:numPr>
          <w:ilvl w:val="0"/>
          <w:numId w:val="16"/>
        </w:numPr>
        <w:rPr>
          <w:rFonts w:ascii="Calibri" w:hAnsi="Calibri" w:cs="Calibri"/>
          <w:sz w:val="24"/>
          <w:szCs w:val="24"/>
        </w:rPr>
      </w:pPr>
      <w:r w:rsidRPr="000C0F2E">
        <w:rPr>
          <w:rFonts w:ascii="Calibri" w:hAnsi="Calibri" w:cs="Calibri"/>
          <w:sz w:val="24"/>
          <w:szCs w:val="24"/>
        </w:rPr>
        <w:t>Outreach and collaboration with global CanCham networks beyond Europe.</w:t>
      </w:r>
    </w:p>
    <w:p w14:paraId="7729208A" w14:textId="0907F6A9" w:rsidR="00E017FD" w:rsidRPr="006365D0" w:rsidRDefault="00000000" w:rsidP="006365D0">
      <w:pPr>
        <w:pStyle w:val="Heading1"/>
        <w:numPr>
          <w:ilvl w:val="0"/>
          <w:numId w:val="10"/>
        </w:numPr>
        <w:rPr>
          <w:rFonts w:ascii="Calibri" w:eastAsiaTheme="minorEastAsia" w:hAnsi="Calibri" w:cs="Calibri"/>
          <w:color w:val="auto"/>
          <w:sz w:val="24"/>
          <w:szCs w:val="24"/>
        </w:rPr>
      </w:pPr>
      <w:r w:rsidRPr="006365D0">
        <w:rPr>
          <w:rFonts w:ascii="Calibri" w:eastAsiaTheme="minorEastAsia" w:hAnsi="Calibri" w:cs="Calibri"/>
          <w:color w:val="auto"/>
          <w:sz w:val="24"/>
          <w:szCs w:val="24"/>
        </w:rPr>
        <w:t>Governance and Organi</w:t>
      </w:r>
      <w:r w:rsidR="006365D0">
        <w:rPr>
          <w:rFonts w:ascii="Calibri" w:eastAsiaTheme="minorEastAsia" w:hAnsi="Calibri" w:cs="Calibri"/>
          <w:color w:val="auto"/>
          <w:sz w:val="24"/>
          <w:szCs w:val="24"/>
        </w:rPr>
        <w:t>z</w:t>
      </w:r>
      <w:r w:rsidRPr="006365D0">
        <w:rPr>
          <w:rFonts w:ascii="Calibri" w:eastAsiaTheme="minorEastAsia" w:hAnsi="Calibri" w:cs="Calibri"/>
          <w:color w:val="auto"/>
          <w:sz w:val="24"/>
          <w:szCs w:val="24"/>
        </w:rPr>
        <w:t>ation</w:t>
      </w:r>
    </w:p>
    <w:p w14:paraId="7D8D806C" w14:textId="265858D1" w:rsidR="000C0F2E" w:rsidRDefault="000C0F2E">
      <w:pPr>
        <w:rPr>
          <w:rFonts w:ascii="Calibri" w:hAnsi="Calibri" w:cs="Calibri"/>
          <w:sz w:val="24"/>
          <w:szCs w:val="24"/>
        </w:rPr>
      </w:pPr>
    </w:p>
    <w:p w14:paraId="53981684" w14:textId="33A73BAC" w:rsidR="003B5791" w:rsidRDefault="00000000" w:rsidP="003B5791">
      <w:pPr>
        <w:pStyle w:val="ListParagraph"/>
        <w:numPr>
          <w:ilvl w:val="0"/>
          <w:numId w:val="18"/>
        </w:numPr>
        <w:rPr>
          <w:rFonts w:ascii="Calibri" w:hAnsi="Calibri" w:cs="Calibri"/>
          <w:sz w:val="24"/>
          <w:szCs w:val="24"/>
          <w:u w:val="single"/>
        </w:rPr>
      </w:pPr>
      <w:r w:rsidRPr="006365D0">
        <w:rPr>
          <w:rFonts w:ascii="Calibri" w:hAnsi="Calibri" w:cs="Calibri"/>
          <w:sz w:val="24"/>
          <w:szCs w:val="24"/>
          <w:u w:val="single"/>
        </w:rPr>
        <w:t>Steering Committee:</w:t>
      </w:r>
    </w:p>
    <w:p w14:paraId="7D189620" w14:textId="77777777" w:rsidR="003B5791" w:rsidRPr="003B5791" w:rsidRDefault="003B5791" w:rsidP="003B5791">
      <w:pPr>
        <w:pStyle w:val="ListParagraph"/>
        <w:ind w:left="360"/>
        <w:rPr>
          <w:rFonts w:ascii="Calibri" w:hAnsi="Calibri" w:cs="Calibri"/>
          <w:sz w:val="24"/>
          <w:szCs w:val="24"/>
          <w:u w:val="single"/>
        </w:rPr>
      </w:pPr>
    </w:p>
    <w:p w14:paraId="2E676ACA" w14:textId="4210AD2D" w:rsidR="003B5791" w:rsidRDefault="003B5791" w:rsidP="003B5791">
      <w:pPr>
        <w:pStyle w:val="ListParagraph"/>
        <w:numPr>
          <w:ilvl w:val="0"/>
          <w:numId w:val="16"/>
        </w:numPr>
        <w:rPr>
          <w:rFonts w:ascii="Calibri" w:hAnsi="Calibri" w:cs="Calibri"/>
          <w:sz w:val="24"/>
          <w:szCs w:val="24"/>
        </w:rPr>
      </w:pPr>
      <w:r w:rsidRPr="003B5791">
        <w:rPr>
          <w:rFonts w:ascii="Calibri" w:hAnsi="Calibri" w:cs="Calibri"/>
          <w:sz w:val="24"/>
          <w:szCs w:val="24"/>
        </w:rPr>
        <w:t>The Steering Committee will consist of six to eight (6–8) representatives from member CanChams.</w:t>
      </w:r>
    </w:p>
    <w:p w14:paraId="50788679" w14:textId="77777777" w:rsidR="003B5791" w:rsidRPr="003B5791" w:rsidRDefault="003B5791" w:rsidP="003B5791">
      <w:pPr>
        <w:pStyle w:val="ListParagraph"/>
        <w:numPr>
          <w:ilvl w:val="0"/>
          <w:numId w:val="16"/>
        </w:numPr>
        <w:rPr>
          <w:rFonts w:ascii="Calibri" w:hAnsi="Calibri" w:cs="Calibri"/>
          <w:sz w:val="24"/>
          <w:szCs w:val="24"/>
        </w:rPr>
      </w:pPr>
      <w:r w:rsidRPr="003B5791">
        <w:rPr>
          <w:rFonts w:ascii="Calibri" w:hAnsi="Calibri" w:cs="Calibri"/>
          <w:sz w:val="24"/>
          <w:szCs w:val="24"/>
        </w:rPr>
        <w:t>Members of the Steering Committee will be elected by the network for two-year terms, with elections conducted on a rotational basis to ensure continuity.</w:t>
      </w:r>
    </w:p>
    <w:p w14:paraId="3ACBA78D" w14:textId="77777777" w:rsidR="003B5791" w:rsidRPr="003B5791" w:rsidRDefault="003B5791" w:rsidP="003B5791">
      <w:pPr>
        <w:pStyle w:val="ListParagraph"/>
        <w:numPr>
          <w:ilvl w:val="0"/>
          <w:numId w:val="16"/>
        </w:numPr>
        <w:rPr>
          <w:rFonts w:ascii="Calibri" w:hAnsi="Calibri" w:cs="Calibri"/>
          <w:sz w:val="24"/>
          <w:szCs w:val="24"/>
        </w:rPr>
      </w:pPr>
      <w:r w:rsidRPr="003B5791">
        <w:rPr>
          <w:rFonts w:ascii="Calibri" w:hAnsi="Calibri" w:cs="Calibri"/>
          <w:sz w:val="24"/>
          <w:szCs w:val="24"/>
        </w:rPr>
        <w:t>Each year, the Steering Committee will elect a Chairperson from among its members.</w:t>
      </w:r>
    </w:p>
    <w:p w14:paraId="1B0C1154" w14:textId="77777777" w:rsidR="003B5791" w:rsidRDefault="003B5791" w:rsidP="003B5791">
      <w:pPr>
        <w:pStyle w:val="ListParagraph"/>
        <w:numPr>
          <w:ilvl w:val="0"/>
          <w:numId w:val="16"/>
        </w:numPr>
        <w:rPr>
          <w:rFonts w:ascii="Calibri" w:hAnsi="Calibri" w:cs="Calibri"/>
          <w:sz w:val="24"/>
          <w:szCs w:val="24"/>
        </w:rPr>
      </w:pPr>
      <w:r w:rsidRPr="003B5791">
        <w:rPr>
          <w:rFonts w:ascii="Calibri" w:hAnsi="Calibri" w:cs="Calibri"/>
          <w:sz w:val="24"/>
          <w:szCs w:val="24"/>
        </w:rPr>
        <w:t>The composition of the Steering Committee will aim to reflect both the geographical diversity of Europe (e.g., Western, Central, and Eastern Europe) and the organisational diversity of the CanChams (including larger, mid-sized, and smaller chambers).</w:t>
      </w:r>
    </w:p>
    <w:p w14:paraId="391E3565" w14:textId="56AC160A" w:rsidR="000C0F2E" w:rsidRPr="003B5791" w:rsidRDefault="003B5791" w:rsidP="003B5791">
      <w:pPr>
        <w:pStyle w:val="ListParagraph"/>
        <w:numPr>
          <w:ilvl w:val="0"/>
          <w:numId w:val="16"/>
        </w:numPr>
        <w:rPr>
          <w:rFonts w:ascii="Calibri" w:hAnsi="Calibri" w:cs="Calibri"/>
          <w:sz w:val="24"/>
          <w:szCs w:val="24"/>
        </w:rPr>
      </w:pPr>
      <w:r w:rsidRPr="003B5791">
        <w:rPr>
          <w:rFonts w:ascii="Calibri" w:hAnsi="Calibri" w:cs="Calibri"/>
          <w:sz w:val="24"/>
          <w:szCs w:val="24"/>
        </w:rPr>
        <w:t>The Steering Committee will meet quarterly (and as may be required by the Secretariat) to oversee general network matters and guide implementation between annual meetings. While the annual meeting of CanCham members remains the principal decision-making body of the network, the Steering Committee will provide ongoing leadership, coordination, and oversight to ensure continuity and progress.</w:t>
      </w:r>
      <w:r>
        <w:rPr>
          <w:rFonts w:ascii="Calibri" w:hAnsi="Calibri" w:cs="Calibri"/>
          <w:sz w:val="24"/>
          <w:szCs w:val="24"/>
        </w:rPr>
        <w:br/>
      </w:r>
    </w:p>
    <w:p w14:paraId="58E414F3" w14:textId="77777777" w:rsidR="000C0F2E" w:rsidRPr="006365D0" w:rsidRDefault="00000000" w:rsidP="000C0F2E">
      <w:pPr>
        <w:pStyle w:val="ListParagraph"/>
        <w:numPr>
          <w:ilvl w:val="0"/>
          <w:numId w:val="18"/>
        </w:numPr>
        <w:rPr>
          <w:rFonts w:ascii="Calibri" w:hAnsi="Calibri" w:cs="Calibri"/>
          <w:sz w:val="24"/>
          <w:szCs w:val="24"/>
          <w:u w:val="single"/>
        </w:rPr>
      </w:pPr>
      <w:r w:rsidRPr="006365D0">
        <w:rPr>
          <w:rFonts w:ascii="Calibri" w:hAnsi="Calibri" w:cs="Calibri"/>
          <w:sz w:val="24"/>
          <w:szCs w:val="24"/>
          <w:u w:val="single"/>
        </w:rPr>
        <w:t>Secretariat:</w:t>
      </w:r>
    </w:p>
    <w:p w14:paraId="6D96DA82" w14:textId="4CC41187" w:rsidR="006365D0" w:rsidRDefault="006365D0" w:rsidP="006365D0">
      <w:pPr>
        <w:pStyle w:val="ListParagraph"/>
        <w:numPr>
          <w:ilvl w:val="0"/>
          <w:numId w:val="20"/>
        </w:numPr>
        <w:rPr>
          <w:rFonts w:ascii="Calibri" w:hAnsi="Calibri" w:cs="Calibri"/>
          <w:sz w:val="24"/>
          <w:szCs w:val="24"/>
        </w:rPr>
      </w:pPr>
      <w:r>
        <w:rPr>
          <w:rFonts w:ascii="Calibri" w:hAnsi="Calibri" w:cs="Calibri"/>
          <w:sz w:val="24"/>
          <w:szCs w:val="24"/>
        </w:rPr>
        <w:t>Canada EU Trade and Investment Association (CEUTIA) to serve as secretariat.</w:t>
      </w:r>
    </w:p>
    <w:p w14:paraId="21B52E92" w14:textId="0A4CA0A2" w:rsidR="006365D0" w:rsidRDefault="00000000" w:rsidP="006365D0">
      <w:pPr>
        <w:pStyle w:val="ListParagraph"/>
        <w:numPr>
          <w:ilvl w:val="0"/>
          <w:numId w:val="20"/>
        </w:numPr>
        <w:rPr>
          <w:rFonts w:ascii="Calibri" w:hAnsi="Calibri" w:cs="Calibri"/>
          <w:sz w:val="24"/>
          <w:szCs w:val="24"/>
        </w:rPr>
      </w:pPr>
      <w:r w:rsidRPr="006365D0">
        <w:rPr>
          <w:rFonts w:ascii="Calibri" w:hAnsi="Calibri" w:cs="Calibri"/>
          <w:sz w:val="24"/>
          <w:szCs w:val="24"/>
        </w:rPr>
        <w:t xml:space="preserve">Responsibilities: coordination, communication, information exchange, liaison with government partners, branding/website management, </w:t>
      </w:r>
      <w:r w:rsidR="002C4D4B">
        <w:rPr>
          <w:rFonts w:ascii="Calibri" w:hAnsi="Calibri" w:cs="Calibri"/>
          <w:sz w:val="24"/>
          <w:szCs w:val="24"/>
        </w:rPr>
        <w:t xml:space="preserve">preparing a budget, </w:t>
      </w:r>
      <w:r w:rsidRPr="006365D0">
        <w:rPr>
          <w:rFonts w:ascii="Calibri" w:hAnsi="Calibri" w:cs="Calibri"/>
          <w:sz w:val="24"/>
          <w:szCs w:val="24"/>
        </w:rPr>
        <w:lastRenderedPageBreak/>
        <w:t>and administrative support</w:t>
      </w:r>
      <w:r w:rsidR="006365D0">
        <w:rPr>
          <w:rFonts w:ascii="Calibri" w:hAnsi="Calibri" w:cs="Calibri"/>
          <w:sz w:val="24"/>
          <w:szCs w:val="24"/>
        </w:rPr>
        <w:t xml:space="preserve"> (including for annual meetings and </w:t>
      </w:r>
      <w:r w:rsidR="006365D0" w:rsidRPr="000C0F2E">
        <w:rPr>
          <w:rFonts w:ascii="Calibri" w:hAnsi="Calibri" w:cs="Calibri"/>
          <w:sz w:val="24"/>
          <w:szCs w:val="24"/>
        </w:rPr>
        <w:t>biennial trade mission to Canada</w:t>
      </w:r>
      <w:r w:rsidR="002C4D4B">
        <w:rPr>
          <w:rFonts w:ascii="Calibri" w:hAnsi="Calibri" w:cs="Calibri"/>
          <w:sz w:val="24"/>
          <w:szCs w:val="24"/>
        </w:rPr>
        <w:t>)</w:t>
      </w:r>
    </w:p>
    <w:p w14:paraId="28B3AF87" w14:textId="77777777" w:rsidR="006365D0" w:rsidRDefault="006365D0" w:rsidP="006365D0">
      <w:pPr>
        <w:pStyle w:val="ListParagraph"/>
        <w:rPr>
          <w:rFonts w:ascii="Calibri" w:hAnsi="Calibri" w:cs="Calibri"/>
          <w:sz w:val="24"/>
          <w:szCs w:val="24"/>
        </w:rPr>
      </w:pPr>
    </w:p>
    <w:p w14:paraId="4AE7DDF3" w14:textId="03DD0DA7" w:rsidR="00043709" w:rsidRPr="00043709" w:rsidRDefault="00043709" w:rsidP="00043709">
      <w:pPr>
        <w:pStyle w:val="ListParagraph"/>
        <w:numPr>
          <w:ilvl w:val="0"/>
          <w:numId w:val="18"/>
        </w:numPr>
        <w:rPr>
          <w:rFonts w:ascii="Calibri" w:hAnsi="Calibri" w:cs="Calibri"/>
          <w:sz w:val="24"/>
          <w:szCs w:val="24"/>
          <w:u w:val="single"/>
        </w:rPr>
      </w:pPr>
      <w:r w:rsidRPr="00043709">
        <w:rPr>
          <w:rFonts w:ascii="Calibri" w:hAnsi="Calibri" w:cs="Calibri"/>
          <w:sz w:val="24"/>
          <w:szCs w:val="24"/>
          <w:u w:val="single"/>
        </w:rPr>
        <w:t>Annual Meeting of Members</w:t>
      </w:r>
    </w:p>
    <w:p w14:paraId="123523CE" w14:textId="77777777" w:rsidR="00043709" w:rsidRPr="00043709" w:rsidRDefault="00043709" w:rsidP="00043709">
      <w:pPr>
        <w:pStyle w:val="ListParagraph"/>
        <w:numPr>
          <w:ilvl w:val="0"/>
          <w:numId w:val="20"/>
        </w:numPr>
        <w:rPr>
          <w:rFonts w:ascii="Calibri" w:hAnsi="Calibri" w:cs="Calibri"/>
          <w:sz w:val="24"/>
          <w:szCs w:val="24"/>
        </w:rPr>
      </w:pPr>
      <w:r w:rsidRPr="00043709">
        <w:rPr>
          <w:rFonts w:ascii="Calibri" w:hAnsi="Calibri" w:cs="Calibri"/>
          <w:sz w:val="24"/>
          <w:szCs w:val="24"/>
        </w:rPr>
        <w:t>The Annual Meeting of Members will serve as the principal decision-making body of the network.</w:t>
      </w:r>
    </w:p>
    <w:p w14:paraId="1BAB4352" w14:textId="77777777" w:rsidR="00043709" w:rsidRPr="00043709" w:rsidRDefault="00043709" w:rsidP="00043709">
      <w:pPr>
        <w:pStyle w:val="ListParagraph"/>
        <w:numPr>
          <w:ilvl w:val="0"/>
          <w:numId w:val="20"/>
        </w:numPr>
        <w:rPr>
          <w:rFonts w:ascii="Calibri" w:hAnsi="Calibri" w:cs="Calibri"/>
          <w:sz w:val="24"/>
          <w:szCs w:val="24"/>
        </w:rPr>
      </w:pPr>
      <w:r w:rsidRPr="00043709">
        <w:rPr>
          <w:rFonts w:ascii="Calibri" w:hAnsi="Calibri" w:cs="Calibri"/>
          <w:sz w:val="24"/>
          <w:szCs w:val="24"/>
        </w:rPr>
        <w:t>It will be composed of representatives from all member CanChams.</w:t>
      </w:r>
    </w:p>
    <w:p w14:paraId="14425E15" w14:textId="27BBF971" w:rsidR="00043709" w:rsidRPr="00043709" w:rsidRDefault="00043709" w:rsidP="00043709">
      <w:pPr>
        <w:pStyle w:val="ListParagraph"/>
        <w:numPr>
          <w:ilvl w:val="0"/>
          <w:numId w:val="20"/>
        </w:numPr>
        <w:rPr>
          <w:rFonts w:ascii="Calibri" w:hAnsi="Calibri" w:cs="Calibri"/>
          <w:sz w:val="24"/>
          <w:szCs w:val="24"/>
        </w:rPr>
      </w:pPr>
      <w:r w:rsidRPr="00043709">
        <w:rPr>
          <w:rFonts w:ascii="Calibri" w:hAnsi="Calibri" w:cs="Calibri"/>
          <w:sz w:val="24"/>
          <w:szCs w:val="24"/>
        </w:rPr>
        <w:t xml:space="preserve">Responsibilities include approving strategic priorities, annual plans, and budgets; electing Steering Committee members; reviewing the network’s performance; and deciding which </w:t>
      </w:r>
      <w:r>
        <w:rPr>
          <w:rFonts w:ascii="Calibri" w:hAnsi="Calibri" w:cs="Calibri"/>
          <w:sz w:val="24"/>
          <w:szCs w:val="24"/>
        </w:rPr>
        <w:t>CanCham</w:t>
      </w:r>
      <w:r w:rsidRPr="00043709">
        <w:rPr>
          <w:rFonts w:ascii="Calibri" w:hAnsi="Calibri" w:cs="Calibri"/>
          <w:sz w:val="24"/>
          <w:szCs w:val="24"/>
        </w:rPr>
        <w:t xml:space="preserve"> will host the following year’s annual meeting.</w:t>
      </w:r>
    </w:p>
    <w:p w14:paraId="5120156F" w14:textId="77777777" w:rsidR="00043709" w:rsidRPr="00043709" w:rsidRDefault="00043709" w:rsidP="00043709">
      <w:pPr>
        <w:pStyle w:val="ListParagraph"/>
        <w:numPr>
          <w:ilvl w:val="0"/>
          <w:numId w:val="20"/>
        </w:numPr>
        <w:rPr>
          <w:rFonts w:ascii="Calibri" w:hAnsi="Calibri" w:cs="Calibri"/>
          <w:sz w:val="24"/>
          <w:szCs w:val="24"/>
        </w:rPr>
      </w:pPr>
      <w:r w:rsidRPr="00043709">
        <w:rPr>
          <w:rFonts w:ascii="Calibri" w:hAnsi="Calibri" w:cs="Calibri"/>
          <w:sz w:val="24"/>
          <w:szCs w:val="24"/>
        </w:rPr>
        <w:t>The Annual Meeting will also provide an opportunity for dialogue, planning, and engagement with government partners and other stakeholders.</w:t>
      </w:r>
    </w:p>
    <w:p w14:paraId="162ECE71" w14:textId="77777777" w:rsidR="00043709" w:rsidRDefault="00043709" w:rsidP="00043709">
      <w:pPr>
        <w:pStyle w:val="ListParagraph"/>
        <w:ind w:left="360"/>
        <w:rPr>
          <w:rFonts w:ascii="Calibri" w:hAnsi="Calibri" w:cs="Calibri"/>
          <w:sz w:val="24"/>
          <w:szCs w:val="24"/>
          <w:u w:val="single"/>
        </w:rPr>
      </w:pPr>
    </w:p>
    <w:p w14:paraId="4FA7943D" w14:textId="3C3A9968" w:rsidR="006365D0" w:rsidRPr="006365D0" w:rsidRDefault="00000000" w:rsidP="006365D0">
      <w:pPr>
        <w:pStyle w:val="ListParagraph"/>
        <w:numPr>
          <w:ilvl w:val="0"/>
          <w:numId w:val="18"/>
        </w:numPr>
        <w:rPr>
          <w:rFonts w:ascii="Calibri" w:hAnsi="Calibri" w:cs="Calibri"/>
          <w:sz w:val="24"/>
          <w:szCs w:val="24"/>
          <w:u w:val="single"/>
        </w:rPr>
      </w:pPr>
      <w:r w:rsidRPr="006365D0">
        <w:rPr>
          <w:rFonts w:ascii="Calibri" w:hAnsi="Calibri" w:cs="Calibri"/>
          <w:sz w:val="24"/>
          <w:szCs w:val="24"/>
          <w:u w:val="single"/>
        </w:rPr>
        <w:t>Decision-Making:</w:t>
      </w:r>
    </w:p>
    <w:p w14:paraId="1F7783F7" w14:textId="08647AFC" w:rsidR="006365D0" w:rsidRDefault="00000000" w:rsidP="006365D0">
      <w:pPr>
        <w:pStyle w:val="ListParagraph"/>
        <w:numPr>
          <w:ilvl w:val="0"/>
          <w:numId w:val="21"/>
        </w:numPr>
        <w:rPr>
          <w:rFonts w:ascii="Calibri" w:hAnsi="Calibri" w:cs="Calibri"/>
          <w:sz w:val="24"/>
          <w:szCs w:val="24"/>
        </w:rPr>
      </w:pPr>
      <w:r w:rsidRPr="006365D0">
        <w:rPr>
          <w:rFonts w:ascii="Calibri" w:hAnsi="Calibri" w:cs="Calibri"/>
          <w:sz w:val="24"/>
          <w:szCs w:val="24"/>
        </w:rPr>
        <w:t>Decision-making authority will rest with CanChams.</w:t>
      </w:r>
    </w:p>
    <w:p w14:paraId="7FD24DBB" w14:textId="6C3C7750" w:rsidR="00E017FD" w:rsidRPr="006365D0" w:rsidRDefault="00C53B48" w:rsidP="006365D0">
      <w:pPr>
        <w:pStyle w:val="ListParagraph"/>
        <w:numPr>
          <w:ilvl w:val="0"/>
          <w:numId w:val="21"/>
        </w:numPr>
        <w:rPr>
          <w:rFonts w:ascii="Calibri" w:hAnsi="Calibri" w:cs="Calibri"/>
          <w:sz w:val="24"/>
          <w:szCs w:val="24"/>
        </w:rPr>
      </w:pPr>
      <w:r>
        <w:rPr>
          <w:rFonts w:ascii="Calibri" w:hAnsi="Calibri" w:cs="Calibri"/>
          <w:sz w:val="24"/>
          <w:szCs w:val="24"/>
        </w:rPr>
        <w:t xml:space="preserve">Associate members / </w:t>
      </w:r>
      <w:r w:rsidRPr="006365D0">
        <w:rPr>
          <w:rFonts w:ascii="Calibri" w:hAnsi="Calibri" w:cs="Calibri"/>
          <w:sz w:val="24"/>
          <w:szCs w:val="24"/>
        </w:rPr>
        <w:t>Government partners (TCS, EDC, provinces) will act as active supporters and collaborators but will not have voting rights.</w:t>
      </w:r>
      <w:r w:rsidR="002C4D4B">
        <w:rPr>
          <w:rFonts w:ascii="Calibri" w:hAnsi="Calibri" w:cs="Calibri"/>
          <w:sz w:val="24"/>
          <w:szCs w:val="24"/>
        </w:rPr>
        <w:t xml:space="preserve">  Associate members / Government partners to pay an annual fee.</w:t>
      </w:r>
    </w:p>
    <w:p w14:paraId="4827546A" w14:textId="37DD53ED" w:rsidR="006365D0" w:rsidRDefault="00000000" w:rsidP="006365D0">
      <w:pPr>
        <w:pStyle w:val="Heading1"/>
        <w:numPr>
          <w:ilvl w:val="0"/>
          <w:numId w:val="10"/>
        </w:numPr>
        <w:rPr>
          <w:rFonts w:ascii="Calibri" w:eastAsiaTheme="minorEastAsia" w:hAnsi="Calibri" w:cs="Calibri"/>
          <w:color w:val="auto"/>
          <w:sz w:val="24"/>
          <w:szCs w:val="24"/>
        </w:rPr>
      </w:pPr>
      <w:r w:rsidRPr="006365D0">
        <w:rPr>
          <w:rFonts w:ascii="Calibri" w:eastAsiaTheme="minorEastAsia" w:hAnsi="Calibri" w:cs="Calibri"/>
          <w:color w:val="auto"/>
          <w:sz w:val="24"/>
          <w:szCs w:val="24"/>
        </w:rPr>
        <w:t>Activities and Deliverables (1–2 Years)</w:t>
      </w:r>
      <w:r w:rsidR="006365D0">
        <w:rPr>
          <w:rFonts w:ascii="Calibri" w:eastAsiaTheme="minorEastAsia" w:hAnsi="Calibri" w:cs="Calibri"/>
          <w:color w:val="auto"/>
          <w:sz w:val="24"/>
          <w:szCs w:val="24"/>
        </w:rPr>
        <w:br/>
      </w:r>
    </w:p>
    <w:p w14:paraId="5986BDE5" w14:textId="11CEBB64" w:rsidR="006365D0" w:rsidRDefault="00000000" w:rsidP="006365D0">
      <w:pPr>
        <w:pStyle w:val="ListParagraph"/>
        <w:numPr>
          <w:ilvl w:val="0"/>
          <w:numId w:val="22"/>
        </w:numPr>
        <w:rPr>
          <w:rFonts w:ascii="Calibri" w:hAnsi="Calibri" w:cs="Calibri"/>
          <w:sz w:val="24"/>
          <w:szCs w:val="24"/>
        </w:rPr>
      </w:pPr>
      <w:r w:rsidRPr="006365D0">
        <w:rPr>
          <w:rFonts w:ascii="Calibri" w:hAnsi="Calibri" w:cs="Calibri"/>
          <w:sz w:val="24"/>
          <w:szCs w:val="24"/>
        </w:rPr>
        <w:t>Annual European Meeting.</w:t>
      </w:r>
    </w:p>
    <w:p w14:paraId="5D34FA50" w14:textId="715D1906" w:rsidR="002C4D4B" w:rsidRPr="002C4D4B" w:rsidRDefault="002C4D4B" w:rsidP="002C4D4B">
      <w:pPr>
        <w:pStyle w:val="ListParagraph"/>
        <w:numPr>
          <w:ilvl w:val="0"/>
          <w:numId w:val="22"/>
        </w:numPr>
        <w:rPr>
          <w:rFonts w:ascii="Calibri" w:hAnsi="Calibri" w:cs="Calibri"/>
          <w:sz w:val="24"/>
          <w:szCs w:val="24"/>
        </w:rPr>
      </w:pPr>
      <w:r>
        <w:rPr>
          <w:rFonts w:ascii="Calibri" w:hAnsi="Calibri" w:cs="Calibri"/>
          <w:sz w:val="24"/>
          <w:szCs w:val="24"/>
        </w:rPr>
        <w:t xml:space="preserve">Development of a </w:t>
      </w:r>
      <w:r w:rsidRPr="000C0F2E">
        <w:rPr>
          <w:rFonts w:ascii="Calibri" w:hAnsi="Calibri" w:cs="Calibri"/>
          <w:sz w:val="24"/>
          <w:szCs w:val="24"/>
        </w:rPr>
        <w:t xml:space="preserve">common </w:t>
      </w:r>
      <w:r>
        <w:rPr>
          <w:rFonts w:ascii="Calibri" w:hAnsi="Calibri" w:cs="Calibri"/>
          <w:sz w:val="24"/>
          <w:szCs w:val="24"/>
        </w:rPr>
        <w:t>playbook</w:t>
      </w:r>
      <w:r w:rsidR="00043709">
        <w:rPr>
          <w:rFonts w:ascii="Calibri" w:hAnsi="Calibri" w:cs="Calibri"/>
          <w:sz w:val="24"/>
          <w:szCs w:val="24"/>
        </w:rPr>
        <w:t>.</w:t>
      </w:r>
    </w:p>
    <w:p w14:paraId="36AE0273" w14:textId="77777777" w:rsidR="006365D0" w:rsidRDefault="00000000" w:rsidP="006365D0">
      <w:pPr>
        <w:pStyle w:val="ListParagraph"/>
        <w:numPr>
          <w:ilvl w:val="0"/>
          <w:numId w:val="22"/>
        </w:numPr>
        <w:rPr>
          <w:rFonts w:ascii="Calibri" w:hAnsi="Calibri" w:cs="Calibri"/>
          <w:sz w:val="24"/>
          <w:szCs w:val="24"/>
        </w:rPr>
      </w:pPr>
      <w:r w:rsidRPr="006365D0">
        <w:rPr>
          <w:rFonts w:ascii="Calibri" w:hAnsi="Calibri" w:cs="Calibri"/>
          <w:sz w:val="24"/>
          <w:szCs w:val="24"/>
        </w:rPr>
        <w:t>Biennial Trade Mission to Canada, with member and partner contributions.</w:t>
      </w:r>
    </w:p>
    <w:p w14:paraId="2805E9C9" w14:textId="77777777" w:rsidR="006365D0" w:rsidRDefault="00000000" w:rsidP="006365D0">
      <w:pPr>
        <w:pStyle w:val="ListParagraph"/>
        <w:numPr>
          <w:ilvl w:val="0"/>
          <w:numId w:val="22"/>
        </w:numPr>
        <w:rPr>
          <w:rFonts w:ascii="Calibri" w:hAnsi="Calibri" w:cs="Calibri"/>
          <w:sz w:val="24"/>
          <w:szCs w:val="24"/>
        </w:rPr>
      </w:pPr>
      <w:r w:rsidRPr="006365D0">
        <w:rPr>
          <w:rFonts w:ascii="Calibri" w:hAnsi="Calibri" w:cs="Calibri"/>
          <w:sz w:val="24"/>
          <w:szCs w:val="24"/>
        </w:rPr>
        <w:t>Quarterly virtual exchanges (thematic workshops, best-practice sessions).</w:t>
      </w:r>
    </w:p>
    <w:p w14:paraId="04F42822" w14:textId="64CCE696" w:rsidR="006365D0" w:rsidRDefault="002C4D4B" w:rsidP="006365D0">
      <w:pPr>
        <w:pStyle w:val="ListParagraph"/>
        <w:numPr>
          <w:ilvl w:val="0"/>
          <w:numId w:val="22"/>
        </w:numPr>
        <w:rPr>
          <w:rFonts w:ascii="Calibri" w:hAnsi="Calibri" w:cs="Calibri"/>
          <w:sz w:val="24"/>
          <w:szCs w:val="24"/>
        </w:rPr>
      </w:pPr>
      <w:r>
        <w:rPr>
          <w:rFonts w:ascii="Calibri" w:hAnsi="Calibri" w:cs="Calibri"/>
          <w:sz w:val="24"/>
          <w:szCs w:val="24"/>
        </w:rPr>
        <w:t>S</w:t>
      </w:r>
      <w:r w:rsidR="00280DE0" w:rsidRPr="006365D0">
        <w:rPr>
          <w:rFonts w:ascii="Calibri" w:hAnsi="Calibri" w:cs="Calibri"/>
          <w:sz w:val="24"/>
          <w:szCs w:val="24"/>
        </w:rPr>
        <w:t xml:space="preserve">hared website and </w:t>
      </w:r>
      <w:r w:rsidR="00280DE0">
        <w:rPr>
          <w:rFonts w:ascii="Calibri" w:hAnsi="Calibri" w:cs="Calibri"/>
          <w:sz w:val="24"/>
          <w:szCs w:val="24"/>
        </w:rPr>
        <w:t xml:space="preserve">other </w:t>
      </w:r>
      <w:r w:rsidR="00280DE0" w:rsidRPr="006365D0">
        <w:rPr>
          <w:rFonts w:ascii="Calibri" w:hAnsi="Calibri" w:cs="Calibri"/>
          <w:sz w:val="24"/>
          <w:szCs w:val="24"/>
        </w:rPr>
        <w:t>communications tools, including social media.</w:t>
      </w:r>
      <w:r>
        <w:rPr>
          <w:rFonts w:ascii="Calibri" w:hAnsi="Calibri" w:cs="Calibri"/>
          <w:sz w:val="24"/>
          <w:szCs w:val="24"/>
        </w:rPr>
        <w:t xml:space="preserve">  The language of the communication will be in English and French.</w:t>
      </w:r>
    </w:p>
    <w:p w14:paraId="539C72E6" w14:textId="77777777" w:rsidR="006365D0" w:rsidRDefault="00000000" w:rsidP="006365D0">
      <w:pPr>
        <w:pStyle w:val="ListParagraph"/>
        <w:numPr>
          <w:ilvl w:val="0"/>
          <w:numId w:val="22"/>
        </w:numPr>
        <w:rPr>
          <w:rFonts w:ascii="Calibri" w:hAnsi="Calibri" w:cs="Calibri"/>
          <w:sz w:val="24"/>
          <w:szCs w:val="24"/>
        </w:rPr>
      </w:pPr>
      <w:r w:rsidRPr="006365D0">
        <w:rPr>
          <w:rFonts w:ascii="Calibri" w:hAnsi="Calibri" w:cs="Calibri"/>
          <w:sz w:val="24"/>
          <w:szCs w:val="24"/>
        </w:rPr>
        <w:t>On</w:t>
      </w:r>
      <w:r w:rsidR="006365D0">
        <w:rPr>
          <w:rFonts w:ascii="Calibri" w:hAnsi="Calibri" w:cs="Calibri"/>
          <w:sz w:val="24"/>
          <w:szCs w:val="24"/>
        </w:rPr>
        <w:t>-</w:t>
      </w:r>
      <w:r w:rsidRPr="006365D0">
        <w:rPr>
          <w:rFonts w:ascii="Calibri" w:hAnsi="Calibri" w:cs="Calibri"/>
          <w:sz w:val="24"/>
          <w:szCs w:val="24"/>
        </w:rPr>
        <w:t>going liaison with government partners to align priorities and share intelligence.</w:t>
      </w:r>
    </w:p>
    <w:p w14:paraId="23C31D38" w14:textId="6AA83F97" w:rsidR="00E017FD" w:rsidRPr="006365D0" w:rsidRDefault="00000000" w:rsidP="006365D0">
      <w:pPr>
        <w:pStyle w:val="ListParagraph"/>
        <w:numPr>
          <w:ilvl w:val="0"/>
          <w:numId w:val="22"/>
        </w:numPr>
        <w:rPr>
          <w:rFonts w:ascii="Calibri" w:hAnsi="Calibri" w:cs="Calibri"/>
          <w:sz w:val="24"/>
          <w:szCs w:val="24"/>
        </w:rPr>
      </w:pPr>
      <w:r w:rsidRPr="006365D0">
        <w:rPr>
          <w:rFonts w:ascii="Calibri" w:hAnsi="Calibri" w:cs="Calibri"/>
          <w:sz w:val="24"/>
          <w:szCs w:val="24"/>
        </w:rPr>
        <w:t>Outreach to global CanChams in other regions.</w:t>
      </w:r>
    </w:p>
    <w:p w14:paraId="0F44BB6C" w14:textId="746C6B71" w:rsidR="00E017FD" w:rsidRPr="006365D0" w:rsidRDefault="00000000" w:rsidP="006365D0">
      <w:pPr>
        <w:pStyle w:val="Heading1"/>
        <w:numPr>
          <w:ilvl w:val="0"/>
          <w:numId w:val="10"/>
        </w:numPr>
        <w:rPr>
          <w:rFonts w:ascii="Calibri" w:eastAsiaTheme="minorEastAsia" w:hAnsi="Calibri" w:cs="Calibri"/>
          <w:color w:val="auto"/>
          <w:sz w:val="24"/>
          <w:szCs w:val="24"/>
        </w:rPr>
      </w:pPr>
      <w:r w:rsidRPr="006365D0">
        <w:rPr>
          <w:rFonts w:ascii="Calibri" w:eastAsiaTheme="minorEastAsia" w:hAnsi="Calibri" w:cs="Calibri"/>
          <w:color w:val="auto"/>
          <w:sz w:val="24"/>
          <w:szCs w:val="24"/>
        </w:rPr>
        <w:t>Funding and Budget</w:t>
      </w:r>
      <w:r w:rsidR="006365D0">
        <w:rPr>
          <w:rFonts w:ascii="Calibri" w:eastAsiaTheme="minorEastAsia" w:hAnsi="Calibri" w:cs="Calibri"/>
          <w:color w:val="auto"/>
          <w:sz w:val="24"/>
          <w:szCs w:val="24"/>
        </w:rPr>
        <w:br/>
      </w:r>
    </w:p>
    <w:p w14:paraId="75CBA4E1" w14:textId="77777777" w:rsidR="006365D0" w:rsidRDefault="00000000" w:rsidP="006365D0">
      <w:pPr>
        <w:pStyle w:val="ListParagraph"/>
        <w:numPr>
          <w:ilvl w:val="0"/>
          <w:numId w:val="22"/>
        </w:numPr>
        <w:rPr>
          <w:rFonts w:ascii="Calibri" w:hAnsi="Calibri" w:cs="Calibri"/>
          <w:sz w:val="24"/>
          <w:szCs w:val="24"/>
        </w:rPr>
      </w:pPr>
      <w:r w:rsidRPr="000C0F2E">
        <w:rPr>
          <w:rFonts w:ascii="Calibri" w:hAnsi="Calibri" w:cs="Calibri"/>
          <w:sz w:val="24"/>
          <w:szCs w:val="24"/>
        </w:rPr>
        <w:t>Membership fees will cover core operations, including the Secretariat, website, and communication tools.</w:t>
      </w:r>
    </w:p>
    <w:p w14:paraId="1B3FAED1" w14:textId="77777777" w:rsidR="006365D0" w:rsidRDefault="00000000" w:rsidP="006365D0">
      <w:pPr>
        <w:pStyle w:val="ListParagraph"/>
        <w:numPr>
          <w:ilvl w:val="0"/>
          <w:numId w:val="22"/>
        </w:numPr>
        <w:rPr>
          <w:rFonts w:ascii="Calibri" w:hAnsi="Calibri" w:cs="Calibri"/>
          <w:sz w:val="24"/>
          <w:szCs w:val="24"/>
        </w:rPr>
      </w:pPr>
      <w:r w:rsidRPr="000C0F2E">
        <w:rPr>
          <w:rFonts w:ascii="Calibri" w:hAnsi="Calibri" w:cs="Calibri"/>
          <w:sz w:val="24"/>
          <w:szCs w:val="24"/>
        </w:rPr>
        <w:t>Special activities (e.g. trade missions, major events) will be funded through additional contributions, sponsorships, or project funding.</w:t>
      </w:r>
    </w:p>
    <w:p w14:paraId="5AD6DC0D" w14:textId="4908D8A2" w:rsidR="00E017FD" w:rsidRPr="000C0F2E" w:rsidRDefault="00000000" w:rsidP="006365D0">
      <w:pPr>
        <w:pStyle w:val="ListParagraph"/>
        <w:numPr>
          <w:ilvl w:val="0"/>
          <w:numId w:val="22"/>
        </w:numPr>
        <w:rPr>
          <w:rFonts w:ascii="Calibri" w:hAnsi="Calibri" w:cs="Calibri"/>
          <w:sz w:val="24"/>
          <w:szCs w:val="24"/>
        </w:rPr>
      </w:pPr>
      <w:r w:rsidRPr="000C0F2E">
        <w:rPr>
          <w:rFonts w:ascii="Calibri" w:hAnsi="Calibri" w:cs="Calibri"/>
          <w:sz w:val="24"/>
          <w:szCs w:val="24"/>
        </w:rPr>
        <w:lastRenderedPageBreak/>
        <w:t>The Secretariat will ensure transparent reporting of income and expenditure to members</w:t>
      </w:r>
      <w:r w:rsidR="003B5791">
        <w:rPr>
          <w:rFonts w:ascii="Calibri" w:hAnsi="Calibri" w:cs="Calibri"/>
          <w:sz w:val="24"/>
          <w:szCs w:val="24"/>
        </w:rPr>
        <w:t>.</w:t>
      </w:r>
    </w:p>
    <w:p w14:paraId="6193A1FB" w14:textId="0CA87228" w:rsidR="006365D0" w:rsidRPr="006365D0" w:rsidRDefault="00000000" w:rsidP="006365D0">
      <w:pPr>
        <w:pStyle w:val="Heading1"/>
        <w:numPr>
          <w:ilvl w:val="0"/>
          <w:numId w:val="10"/>
        </w:numPr>
        <w:rPr>
          <w:rFonts w:ascii="Calibri" w:eastAsiaTheme="minorEastAsia" w:hAnsi="Calibri" w:cs="Calibri"/>
          <w:color w:val="auto"/>
          <w:sz w:val="24"/>
          <w:szCs w:val="24"/>
        </w:rPr>
      </w:pPr>
      <w:r w:rsidRPr="006365D0">
        <w:rPr>
          <w:rFonts w:ascii="Calibri" w:eastAsiaTheme="minorEastAsia" w:hAnsi="Calibri" w:cs="Calibri"/>
          <w:color w:val="auto"/>
          <w:sz w:val="24"/>
          <w:szCs w:val="24"/>
        </w:rPr>
        <w:t>Communication and Branding</w:t>
      </w:r>
      <w:r w:rsidR="006365D0">
        <w:rPr>
          <w:rFonts w:ascii="Calibri" w:eastAsiaTheme="minorEastAsia" w:hAnsi="Calibri" w:cs="Calibri"/>
          <w:color w:val="auto"/>
          <w:sz w:val="24"/>
          <w:szCs w:val="24"/>
        </w:rPr>
        <w:br/>
      </w:r>
    </w:p>
    <w:p w14:paraId="1247A38C" w14:textId="77777777" w:rsidR="006365D0" w:rsidRDefault="00000000" w:rsidP="006365D0">
      <w:pPr>
        <w:pStyle w:val="ListParagraph"/>
        <w:numPr>
          <w:ilvl w:val="0"/>
          <w:numId w:val="22"/>
        </w:numPr>
        <w:rPr>
          <w:rFonts w:ascii="Calibri" w:hAnsi="Calibri" w:cs="Calibri"/>
          <w:sz w:val="24"/>
          <w:szCs w:val="24"/>
        </w:rPr>
      </w:pPr>
      <w:r w:rsidRPr="006365D0">
        <w:rPr>
          <w:rFonts w:ascii="Calibri" w:hAnsi="Calibri" w:cs="Calibri"/>
          <w:sz w:val="24"/>
          <w:szCs w:val="24"/>
        </w:rPr>
        <w:t>The network will establish a shared brand identity for collective visibility.</w:t>
      </w:r>
    </w:p>
    <w:p w14:paraId="149D2CB4" w14:textId="77777777" w:rsidR="006365D0" w:rsidRDefault="00000000" w:rsidP="006365D0">
      <w:pPr>
        <w:pStyle w:val="ListParagraph"/>
        <w:numPr>
          <w:ilvl w:val="0"/>
          <w:numId w:val="22"/>
        </w:numPr>
        <w:rPr>
          <w:rFonts w:ascii="Calibri" w:hAnsi="Calibri" w:cs="Calibri"/>
          <w:sz w:val="24"/>
          <w:szCs w:val="24"/>
        </w:rPr>
      </w:pPr>
      <w:r w:rsidRPr="006365D0">
        <w:rPr>
          <w:rFonts w:ascii="Calibri" w:hAnsi="Calibri" w:cs="Calibri"/>
          <w:sz w:val="24"/>
          <w:szCs w:val="24"/>
        </w:rPr>
        <w:t>Branding will be complementary: it will strengthen the profile of CanChams collectively without undermining their independence.</w:t>
      </w:r>
    </w:p>
    <w:p w14:paraId="3811A7AF" w14:textId="3CC7A5C2" w:rsidR="00E017FD" w:rsidRPr="006365D0" w:rsidRDefault="00000000" w:rsidP="006365D0">
      <w:pPr>
        <w:pStyle w:val="ListParagraph"/>
        <w:numPr>
          <w:ilvl w:val="0"/>
          <w:numId w:val="22"/>
        </w:numPr>
        <w:rPr>
          <w:rFonts w:ascii="Calibri" w:hAnsi="Calibri" w:cs="Calibri"/>
          <w:sz w:val="24"/>
          <w:szCs w:val="24"/>
        </w:rPr>
      </w:pPr>
      <w:r w:rsidRPr="006365D0">
        <w:rPr>
          <w:rFonts w:ascii="Calibri" w:hAnsi="Calibri" w:cs="Calibri"/>
          <w:sz w:val="24"/>
          <w:szCs w:val="24"/>
        </w:rPr>
        <w:t>Communication tools will include a website, joint branding at events, and coordinated social media presence.</w:t>
      </w:r>
    </w:p>
    <w:p w14:paraId="185AC037" w14:textId="78573BEB" w:rsidR="00E017FD" w:rsidRPr="000C0F2E" w:rsidRDefault="00000000" w:rsidP="006365D0">
      <w:pPr>
        <w:pStyle w:val="Heading1"/>
        <w:numPr>
          <w:ilvl w:val="0"/>
          <w:numId w:val="10"/>
        </w:numPr>
        <w:rPr>
          <w:rFonts w:ascii="Calibri" w:hAnsi="Calibri" w:cs="Calibri"/>
          <w:sz w:val="24"/>
          <w:szCs w:val="24"/>
        </w:rPr>
      </w:pPr>
      <w:r w:rsidRPr="006365D0">
        <w:rPr>
          <w:rFonts w:ascii="Calibri" w:eastAsiaTheme="minorEastAsia" w:hAnsi="Calibri" w:cs="Calibri"/>
          <w:color w:val="auto"/>
          <w:sz w:val="24"/>
          <w:szCs w:val="24"/>
        </w:rPr>
        <w:t>Monitoring, Evaluation, and Reporting</w:t>
      </w:r>
      <w:r w:rsidR="006365D0">
        <w:rPr>
          <w:rFonts w:ascii="Calibri" w:eastAsiaTheme="minorEastAsia" w:hAnsi="Calibri" w:cs="Calibri"/>
          <w:color w:val="auto"/>
          <w:sz w:val="24"/>
          <w:szCs w:val="24"/>
        </w:rPr>
        <w:br/>
      </w:r>
    </w:p>
    <w:p w14:paraId="5659A0F3" w14:textId="77777777" w:rsidR="006365D0" w:rsidRDefault="00000000" w:rsidP="006365D0">
      <w:pPr>
        <w:pStyle w:val="ListParagraph"/>
        <w:numPr>
          <w:ilvl w:val="0"/>
          <w:numId w:val="22"/>
        </w:numPr>
        <w:rPr>
          <w:rFonts w:ascii="Calibri" w:hAnsi="Calibri" w:cs="Calibri"/>
          <w:sz w:val="24"/>
          <w:szCs w:val="24"/>
        </w:rPr>
      </w:pPr>
      <w:r w:rsidRPr="000C0F2E">
        <w:rPr>
          <w:rFonts w:ascii="Calibri" w:hAnsi="Calibri" w:cs="Calibri"/>
          <w:sz w:val="24"/>
          <w:szCs w:val="24"/>
        </w:rPr>
        <w:t>The Steering Committee will oversee an annual review of activities, finances, and outcomes.</w:t>
      </w:r>
    </w:p>
    <w:p w14:paraId="0FE2E598" w14:textId="77777777" w:rsidR="006365D0" w:rsidRDefault="00000000" w:rsidP="006365D0">
      <w:pPr>
        <w:pStyle w:val="ListParagraph"/>
        <w:numPr>
          <w:ilvl w:val="0"/>
          <w:numId w:val="22"/>
        </w:numPr>
        <w:rPr>
          <w:rFonts w:ascii="Calibri" w:hAnsi="Calibri" w:cs="Calibri"/>
          <w:sz w:val="24"/>
          <w:szCs w:val="24"/>
        </w:rPr>
      </w:pPr>
      <w:r w:rsidRPr="000C0F2E">
        <w:rPr>
          <w:rFonts w:ascii="Calibri" w:hAnsi="Calibri" w:cs="Calibri"/>
          <w:sz w:val="24"/>
          <w:szCs w:val="24"/>
        </w:rPr>
        <w:t>This process will allow adjustments in priorities and ensure accountability.</w:t>
      </w:r>
    </w:p>
    <w:p w14:paraId="6C8CB713" w14:textId="2A82E192" w:rsidR="00E017FD" w:rsidRPr="000C0F2E" w:rsidRDefault="00000000" w:rsidP="006365D0">
      <w:pPr>
        <w:pStyle w:val="ListParagraph"/>
        <w:numPr>
          <w:ilvl w:val="0"/>
          <w:numId w:val="22"/>
        </w:numPr>
        <w:rPr>
          <w:rFonts w:ascii="Calibri" w:hAnsi="Calibri" w:cs="Calibri"/>
          <w:sz w:val="24"/>
          <w:szCs w:val="24"/>
        </w:rPr>
      </w:pPr>
      <w:r w:rsidRPr="000C0F2E">
        <w:rPr>
          <w:rFonts w:ascii="Calibri" w:hAnsi="Calibri" w:cs="Calibri"/>
          <w:sz w:val="24"/>
          <w:szCs w:val="24"/>
        </w:rPr>
        <w:t>After an initial two-year period, members will evaluate the network’s progress and agree on next steps.</w:t>
      </w:r>
    </w:p>
    <w:p w14:paraId="6D583D79" w14:textId="7A56FEAD" w:rsidR="00E017FD" w:rsidRPr="000C0F2E" w:rsidRDefault="00000000" w:rsidP="006365D0">
      <w:pPr>
        <w:pStyle w:val="Heading1"/>
        <w:numPr>
          <w:ilvl w:val="0"/>
          <w:numId w:val="10"/>
        </w:numPr>
        <w:rPr>
          <w:rFonts w:ascii="Calibri" w:hAnsi="Calibri" w:cs="Calibri"/>
          <w:sz w:val="24"/>
          <w:szCs w:val="24"/>
        </w:rPr>
      </w:pPr>
      <w:r w:rsidRPr="006365D0">
        <w:rPr>
          <w:rFonts w:ascii="Calibri" w:eastAsiaTheme="minorEastAsia" w:hAnsi="Calibri" w:cs="Calibri"/>
          <w:color w:val="auto"/>
          <w:sz w:val="24"/>
          <w:szCs w:val="24"/>
        </w:rPr>
        <w:t>Global Outlook</w:t>
      </w:r>
      <w:r w:rsidR="006365D0" w:rsidRPr="006365D0">
        <w:rPr>
          <w:rFonts w:ascii="Calibri" w:eastAsiaTheme="minorEastAsia" w:hAnsi="Calibri" w:cs="Calibri"/>
          <w:color w:val="auto"/>
          <w:sz w:val="24"/>
          <w:szCs w:val="24"/>
        </w:rPr>
        <w:br/>
      </w:r>
    </w:p>
    <w:p w14:paraId="6D3B489C" w14:textId="23B6EDB9" w:rsidR="00E017FD" w:rsidRPr="000C0F2E" w:rsidRDefault="00000000">
      <w:pPr>
        <w:rPr>
          <w:rFonts w:ascii="Calibri" w:hAnsi="Calibri" w:cs="Calibri"/>
          <w:sz w:val="24"/>
          <w:szCs w:val="24"/>
        </w:rPr>
      </w:pPr>
      <w:r w:rsidRPr="000C0F2E">
        <w:rPr>
          <w:rFonts w:ascii="Calibri" w:hAnsi="Calibri" w:cs="Calibri"/>
          <w:sz w:val="24"/>
          <w:szCs w:val="24"/>
        </w:rPr>
        <w:t>The CanChams of Europe network will actively seek to connect with Canadian chambers and business associations in other regions. By building bridges globally, the European network will contribute to a wider international CanCham community that amplifies Canada’s global economic presence.</w:t>
      </w:r>
    </w:p>
    <w:p w14:paraId="165D7A0B" w14:textId="0F41EADD" w:rsidR="00E017FD" w:rsidRPr="000C0F2E" w:rsidRDefault="00000000" w:rsidP="006365D0">
      <w:pPr>
        <w:pStyle w:val="Heading1"/>
        <w:numPr>
          <w:ilvl w:val="0"/>
          <w:numId w:val="10"/>
        </w:numPr>
        <w:rPr>
          <w:rFonts w:ascii="Calibri" w:hAnsi="Calibri" w:cs="Calibri"/>
          <w:sz w:val="24"/>
          <w:szCs w:val="24"/>
        </w:rPr>
      </w:pPr>
      <w:r w:rsidRPr="006365D0">
        <w:rPr>
          <w:rFonts w:ascii="Calibri" w:eastAsiaTheme="minorEastAsia" w:hAnsi="Calibri" w:cs="Calibri"/>
          <w:color w:val="auto"/>
          <w:sz w:val="24"/>
          <w:szCs w:val="24"/>
        </w:rPr>
        <w:t>Conclusion</w:t>
      </w:r>
      <w:r w:rsidR="006365D0" w:rsidRPr="006365D0">
        <w:rPr>
          <w:rFonts w:ascii="Calibri" w:eastAsiaTheme="minorEastAsia" w:hAnsi="Calibri" w:cs="Calibri"/>
          <w:color w:val="auto"/>
          <w:sz w:val="24"/>
          <w:szCs w:val="24"/>
        </w:rPr>
        <w:br/>
      </w:r>
    </w:p>
    <w:p w14:paraId="1B1FA4BB" w14:textId="65BEE1FE" w:rsidR="00E017FD" w:rsidRDefault="00000000">
      <w:pPr>
        <w:rPr>
          <w:rFonts w:ascii="Calibri" w:hAnsi="Calibri" w:cs="Calibri"/>
          <w:i/>
          <w:iCs/>
          <w:sz w:val="24"/>
          <w:szCs w:val="24"/>
        </w:rPr>
      </w:pPr>
      <w:r w:rsidRPr="000C0F2E">
        <w:rPr>
          <w:rFonts w:ascii="Calibri" w:hAnsi="Calibri" w:cs="Calibri"/>
          <w:sz w:val="24"/>
          <w:szCs w:val="24"/>
        </w:rPr>
        <w:t>The CanChams of Europe initiative recogni</w:t>
      </w:r>
      <w:r w:rsidR="006365D0">
        <w:rPr>
          <w:rFonts w:ascii="Calibri" w:hAnsi="Calibri" w:cs="Calibri"/>
          <w:sz w:val="24"/>
          <w:szCs w:val="24"/>
        </w:rPr>
        <w:t>zes</w:t>
      </w:r>
      <w:r w:rsidRPr="000C0F2E">
        <w:rPr>
          <w:rFonts w:ascii="Calibri" w:hAnsi="Calibri" w:cs="Calibri"/>
          <w:sz w:val="24"/>
          <w:szCs w:val="24"/>
        </w:rPr>
        <w:t xml:space="preserve"> the autonomy and diverse capacities of individual chambers while committing to shared values of good governance,</w:t>
      </w:r>
      <w:r w:rsidR="006365D0">
        <w:rPr>
          <w:rFonts w:ascii="Calibri" w:hAnsi="Calibri" w:cs="Calibri"/>
          <w:sz w:val="24"/>
          <w:szCs w:val="24"/>
        </w:rPr>
        <w:t xml:space="preserve"> </w:t>
      </w:r>
      <w:r w:rsidRPr="000C0F2E">
        <w:rPr>
          <w:rFonts w:ascii="Calibri" w:hAnsi="Calibri" w:cs="Calibri"/>
          <w:sz w:val="24"/>
          <w:szCs w:val="24"/>
        </w:rPr>
        <w:t>accountability, and collaboration. By formali</w:t>
      </w:r>
      <w:r w:rsidR="006365D0">
        <w:rPr>
          <w:rFonts w:ascii="Calibri" w:hAnsi="Calibri" w:cs="Calibri"/>
          <w:sz w:val="24"/>
          <w:szCs w:val="24"/>
        </w:rPr>
        <w:t>z</w:t>
      </w:r>
      <w:r w:rsidRPr="000C0F2E">
        <w:rPr>
          <w:rFonts w:ascii="Calibri" w:hAnsi="Calibri" w:cs="Calibri"/>
          <w:sz w:val="24"/>
          <w:szCs w:val="24"/>
        </w:rPr>
        <w:t>ing this network, members can strengthen trust, build capacity, and unlock new opportunities for their members, while reinforcing the Canada</w:t>
      </w:r>
      <w:r w:rsidR="006365D0">
        <w:rPr>
          <w:rFonts w:ascii="Calibri" w:hAnsi="Calibri" w:cs="Calibri"/>
          <w:sz w:val="24"/>
          <w:szCs w:val="24"/>
        </w:rPr>
        <w:t>-</w:t>
      </w:r>
      <w:r w:rsidRPr="000C0F2E">
        <w:rPr>
          <w:rFonts w:ascii="Calibri" w:hAnsi="Calibri" w:cs="Calibri"/>
          <w:sz w:val="24"/>
          <w:szCs w:val="24"/>
        </w:rPr>
        <w:t>Europe economic partnership.</w:t>
      </w:r>
      <w:r w:rsidRPr="000C0F2E">
        <w:rPr>
          <w:rFonts w:ascii="Calibri" w:hAnsi="Calibri" w:cs="Calibri"/>
          <w:sz w:val="24"/>
          <w:szCs w:val="24"/>
        </w:rPr>
        <w:br/>
      </w:r>
      <w:r w:rsidRPr="000C0F2E">
        <w:rPr>
          <w:rFonts w:ascii="Calibri" w:hAnsi="Calibri" w:cs="Calibri"/>
          <w:sz w:val="24"/>
          <w:szCs w:val="24"/>
        </w:rPr>
        <w:br/>
      </w:r>
    </w:p>
    <w:p w14:paraId="21C06B81" w14:textId="77777777" w:rsidR="00474D66" w:rsidRDefault="00474D66">
      <w:pPr>
        <w:rPr>
          <w:rFonts w:ascii="Calibri" w:hAnsi="Calibri" w:cs="Calibri"/>
          <w:i/>
          <w:iCs/>
          <w:sz w:val="24"/>
          <w:szCs w:val="24"/>
        </w:rPr>
      </w:pPr>
    </w:p>
    <w:p w14:paraId="1C9AD3C9" w14:textId="77777777" w:rsidR="00474D66" w:rsidRDefault="00474D66">
      <w:pPr>
        <w:rPr>
          <w:rFonts w:ascii="Calibri" w:hAnsi="Calibri" w:cs="Calibri"/>
          <w:i/>
          <w:iCs/>
          <w:sz w:val="24"/>
          <w:szCs w:val="24"/>
        </w:rPr>
      </w:pPr>
    </w:p>
    <w:p w14:paraId="362E7B18" w14:textId="2BA4EBB0" w:rsidR="0063244F" w:rsidRDefault="0063244F" w:rsidP="0063244F">
      <w:pPr>
        <w:pStyle w:val="Heading1"/>
      </w:pPr>
      <w:r>
        <w:t>SUMMARY:</w:t>
      </w:r>
    </w:p>
    <w:p w14:paraId="05B990D2" w14:textId="102352DC" w:rsidR="00176F5F" w:rsidRDefault="002D26B7" w:rsidP="00176F5F">
      <w:r>
        <w:t>Key points</w:t>
      </w:r>
    </w:p>
    <w:p w14:paraId="0E282475" w14:textId="77777777" w:rsidR="00176F5F" w:rsidRDefault="00176F5F" w:rsidP="002D26B7">
      <w:pPr>
        <w:pStyle w:val="ListParagraph"/>
        <w:numPr>
          <w:ilvl w:val="0"/>
          <w:numId w:val="27"/>
        </w:numPr>
      </w:pPr>
      <w:r>
        <w:t>Revenue from members</w:t>
      </w:r>
    </w:p>
    <w:p w14:paraId="06E36977" w14:textId="77777777" w:rsidR="00176F5F" w:rsidRDefault="00176F5F" w:rsidP="00176F5F">
      <w:pPr>
        <w:pStyle w:val="ListParagraph"/>
        <w:numPr>
          <w:ilvl w:val="0"/>
          <w:numId w:val="27"/>
        </w:numPr>
      </w:pPr>
      <w:r>
        <w:t>CAF</w:t>
      </w:r>
    </w:p>
    <w:p w14:paraId="24523523" w14:textId="77777777" w:rsidR="00176F5F" w:rsidRDefault="00176F5F" w:rsidP="00176F5F">
      <w:pPr>
        <w:pStyle w:val="ListParagraph"/>
        <w:numPr>
          <w:ilvl w:val="0"/>
          <w:numId w:val="27"/>
        </w:numPr>
      </w:pPr>
      <w:r>
        <w:t>Regional effect</w:t>
      </w:r>
    </w:p>
    <w:p w14:paraId="5DDBD664" w14:textId="77777777" w:rsidR="00176F5F" w:rsidRDefault="00176F5F" w:rsidP="00176F5F">
      <w:pPr>
        <w:pStyle w:val="ListParagraph"/>
        <w:numPr>
          <w:ilvl w:val="0"/>
          <w:numId w:val="27"/>
        </w:numPr>
      </w:pPr>
      <w:r>
        <w:t>What doesn’t work: sales reps</w:t>
      </w:r>
    </w:p>
    <w:p w14:paraId="55BCB270" w14:textId="77777777" w:rsidR="00176F5F" w:rsidRDefault="00176F5F" w:rsidP="00176F5F">
      <w:pPr>
        <w:pStyle w:val="ListParagraph"/>
        <w:numPr>
          <w:ilvl w:val="0"/>
          <w:numId w:val="27"/>
        </w:numPr>
      </w:pPr>
      <w:r>
        <w:t>What works: Strategic partnerships</w:t>
      </w:r>
    </w:p>
    <w:p w14:paraId="08CE652B" w14:textId="5F22DF41" w:rsidR="00474D66" w:rsidRDefault="00176F5F" w:rsidP="002D26B7">
      <w:pPr>
        <w:pStyle w:val="ListParagraph"/>
        <w:numPr>
          <w:ilvl w:val="0"/>
          <w:numId w:val="27"/>
        </w:numPr>
      </w:pPr>
      <w:r>
        <w:t xml:space="preserve">Pet peeve: </w:t>
      </w:r>
      <w:r w:rsidR="001273FB">
        <w:t xml:space="preserve">Competition between </w:t>
      </w:r>
      <w:r w:rsidR="00A70276">
        <w:t>T</w:t>
      </w:r>
      <w:r w:rsidR="00B71D15">
        <w:t xml:space="preserve">rade </w:t>
      </w:r>
      <w:r w:rsidR="00A70276">
        <w:t>C</w:t>
      </w:r>
      <w:r w:rsidR="00B71D15">
        <w:t xml:space="preserve">ommissioner </w:t>
      </w:r>
      <w:r w:rsidR="00A70276">
        <w:t>S</w:t>
      </w:r>
      <w:r w:rsidR="00B71D15">
        <w:t>ervices</w:t>
      </w:r>
      <w:r w:rsidR="00A70276">
        <w:t xml:space="preserve"> and chambers</w:t>
      </w:r>
    </w:p>
    <w:p w14:paraId="256CF6BE" w14:textId="12EF2376" w:rsidR="00A70276" w:rsidRDefault="00A70276" w:rsidP="002D26B7">
      <w:pPr>
        <w:pStyle w:val="ListParagraph"/>
        <w:numPr>
          <w:ilvl w:val="0"/>
          <w:numId w:val="27"/>
        </w:numPr>
      </w:pPr>
      <w:r>
        <w:t>Canada Brand</w:t>
      </w:r>
    </w:p>
    <w:p w14:paraId="7F99730E" w14:textId="05390C0E" w:rsidR="00301426" w:rsidRDefault="00301426" w:rsidP="001273FB">
      <w:r>
        <w:t>Strategic priority: Canadian business development.</w:t>
      </w:r>
    </w:p>
    <w:p w14:paraId="265FA36C" w14:textId="3735EDE4" w:rsidR="00423558" w:rsidRDefault="00423558" w:rsidP="001273FB">
      <w:r w:rsidRPr="00423558">
        <w:t>Richard Grieg Higginson, IA-04 Invest Alberta</w:t>
      </w:r>
    </w:p>
    <w:p w14:paraId="009E3579" w14:textId="77777777" w:rsidR="00423558" w:rsidRDefault="00423558" w:rsidP="001273FB"/>
    <w:p w14:paraId="5B2B0A4F" w14:textId="414FFC40" w:rsidR="00423558" w:rsidRDefault="00423558" w:rsidP="001273FB">
      <w:r>
        <w:t>Introductions</w:t>
      </w:r>
    </w:p>
    <w:p w14:paraId="1CE50EEA" w14:textId="567EB410" w:rsidR="00423558" w:rsidRDefault="00423558" w:rsidP="002D26B7">
      <w:pPr>
        <w:pStyle w:val="ListParagraph"/>
        <w:numPr>
          <w:ilvl w:val="0"/>
          <w:numId w:val="26"/>
        </w:numPr>
      </w:pPr>
      <w:r>
        <w:t xml:space="preserve">Presence of </w:t>
      </w:r>
      <w:r w:rsidR="00932386">
        <w:t>high-ranking</w:t>
      </w:r>
      <w:r>
        <w:t xml:space="preserve"> Canadian officials</w:t>
      </w:r>
      <w:r w:rsidR="00932386">
        <w:t xml:space="preserve"> and regional reps</w:t>
      </w:r>
    </w:p>
    <w:p w14:paraId="76882B62" w14:textId="7E297768" w:rsidR="00932386" w:rsidRDefault="00932386" w:rsidP="002D26B7">
      <w:pPr>
        <w:pStyle w:val="ListParagraph"/>
        <w:numPr>
          <w:ilvl w:val="0"/>
          <w:numId w:val="26"/>
        </w:numPr>
      </w:pPr>
      <w:r>
        <w:t>Put the foot on the gas – CanChams key partners</w:t>
      </w:r>
    </w:p>
    <w:p w14:paraId="2633C553" w14:textId="77777777" w:rsidR="00C70D9E" w:rsidRDefault="00C70D9E" w:rsidP="001273FB"/>
    <w:p w14:paraId="60A37541" w14:textId="1EBE11E7" w:rsidR="00C70D9E" w:rsidRDefault="00C70D9E" w:rsidP="001273FB">
      <w:r>
        <w:t>General discussion:</w:t>
      </w:r>
    </w:p>
    <w:p w14:paraId="2992F267" w14:textId="00F3399B" w:rsidR="00C70D9E" w:rsidRDefault="00C70D9E" w:rsidP="001273FB">
      <w:r>
        <w:t>Financial issues for chambers</w:t>
      </w:r>
    </w:p>
    <w:p w14:paraId="21EEBC27" w14:textId="585A3D2D" w:rsidR="00C70D9E" w:rsidRDefault="00C70D9E" w:rsidP="001273FB">
      <w:r>
        <w:t>Rotation issues in the Embassy</w:t>
      </w:r>
    </w:p>
    <w:p w14:paraId="3E94FE4E" w14:textId="05B44DEF" w:rsidR="00932386" w:rsidRDefault="00707CA0" w:rsidP="001273FB">
      <w:r>
        <w:t>Write up a description of the CanCham and describe how it differs from other chambers.</w:t>
      </w:r>
    </w:p>
    <w:p w14:paraId="3AF3168C" w14:textId="2F89EDD9" w:rsidR="00707CA0" w:rsidRDefault="00707CA0" w:rsidP="002D26B7">
      <w:pPr>
        <w:pStyle w:val="ListParagraph"/>
        <w:numPr>
          <w:ilvl w:val="0"/>
          <w:numId w:val="25"/>
        </w:numPr>
      </w:pPr>
      <w:r>
        <w:t>Re</w:t>
      </w:r>
      <w:r w:rsidR="002D26B7">
        <w:t>gional sales capabilities</w:t>
      </w:r>
    </w:p>
    <w:p w14:paraId="148C4B23" w14:textId="2FF9D621" w:rsidR="0045199B" w:rsidRDefault="00EB7BE8" w:rsidP="0045199B">
      <w:r>
        <w:t>Group work:</w:t>
      </w:r>
    </w:p>
    <w:p w14:paraId="5B8DAB77" w14:textId="73B114BE" w:rsidR="00EB7BE8" w:rsidRDefault="00EB7BE8" w:rsidP="00EB7BE8">
      <w:pPr>
        <w:pStyle w:val="ListParagraph"/>
        <w:numPr>
          <w:ilvl w:val="0"/>
          <w:numId w:val="25"/>
        </w:numPr>
      </w:pPr>
      <w:r>
        <w:t>Identify common topics</w:t>
      </w:r>
    </w:p>
    <w:p w14:paraId="1E5B4956" w14:textId="60644BF6" w:rsidR="00EB7BE8" w:rsidRDefault="00EB7BE8" w:rsidP="00EB7BE8">
      <w:pPr>
        <w:pStyle w:val="ListParagraph"/>
        <w:numPr>
          <w:ilvl w:val="0"/>
          <w:numId w:val="25"/>
        </w:numPr>
      </w:pPr>
      <w:r>
        <w:t>Rising tide raises all boats</w:t>
      </w:r>
    </w:p>
    <w:p w14:paraId="0C49A27B" w14:textId="4B964D41" w:rsidR="00EB7BE8" w:rsidRDefault="00603456" w:rsidP="00EB7BE8">
      <w:pPr>
        <w:pStyle w:val="ListParagraph"/>
        <w:numPr>
          <w:ilvl w:val="0"/>
          <w:numId w:val="25"/>
        </w:numPr>
      </w:pPr>
      <w:r>
        <w:t>Transparency on behalf of the Embassy as personnel changes reflecting chamber reputation</w:t>
      </w:r>
    </w:p>
    <w:p w14:paraId="102B1D38" w14:textId="39B9B98C" w:rsidR="00603456" w:rsidRDefault="00060EB1" w:rsidP="00EB7BE8">
      <w:pPr>
        <w:pStyle w:val="ListParagraph"/>
        <w:numPr>
          <w:ilvl w:val="0"/>
          <w:numId w:val="25"/>
        </w:numPr>
      </w:pPr>
      <w:r>
        <w:t>Not a chamber – a business club</w:t>
      </w:r>
    </w:p>
    <w:p w14:paraId="67B65E82" w14:textId="35E168BE" w:rsidR="001054B7" w:rsidRDefault="001054B7" w:rsidP="00EB7BE8">
      <w:pPr>
        <w:pStyle w:val="ListParagraph"/>
        <w:numPr>
          <w:ilvl w:val="0"/>
          <w:numId w:val="25"/>
        </w:numPr>
      </w:pPr>
      <w:r>
        <w:lastRenderedPageBreak/>
        <w:t>Chambers provide a level of vetting to give government agencies confidence to dealing with them</w:t>
      </w:r>
    </w:p>
    <w:p w14:paraId="6C7E122D" w14:textId="66CD95E3" w:rsidR="001054B7" w:rsidRDefault="004F5BDF" w:rsidP="00EB7BE8">
      <w:pPr>
        <w:pStyle w:val="ListParagraph"/>
        <w:numPr>
          <w:ilvl w:val="0"/>
          <w:numId w:val="25"/>
        </w:numPr>
      </w:pPr>
      <w:r>
        <w:t>Issues of funding</w:t>
      </w:r>
    </w:p>
    <w:p w14:paraId="1AA357D2" w14:textId="77777777" w:rsidR="004F5BDF" w:rsidRDefault="004F5BDF" w:rsidP="0090674A"/>
    <w:p w14:paraId="62390DE4" w14:textId="41D6BDF8" w:rsidR="00AF5EAC" w:rsidRDefault="0090674A" w:rsidP="0090674A">
      <w:r>
        <w:t>EDC</w:t>
      </w:r>
    </w:p>
    <w:p w14:paraId="6F097375" w14:textId="0C5247EE" w:rsidR="0090674A" w:rsidRDefault="0090674A" w:rsidP="0090674A">
      <w:pPr>
        <w:pStyle w:val="ListParagraph"/>
        <w:numPr>
          <w:ilvl w:val="0"/>
          <w:numId w:val="29"/>
        </w:numPr>
      </w:pPr>
      <w:r>
        <w:t>Expansion mode</w:t>
      </w:r>
    </w:p>
    <w:p w14:paraId="24255EB3" w14:textId="798255ED" w:rsidR="00AF5EAC" w:rsidRDefault="00AF5EAC" w:rsidP="0090674A">
      <w:pPr>
        <w:pStyle w:val="ListParagraph"/>
        <w:numPr>
          <w:ilvl w:val="0"/>
          <w:numId w:val="29"/>
        </w:numPr>
      </w:pPr>
      <w:r>
        <w:t>EDC not focusing on Baltics and Scandinavia</w:t>
      </w:r>
    </w:p>
    <w:p w14:paraId="37862DD4" w14:textId="77777777" w:rsidR="00AF5EAC" w:rsidRDefault="00AF5EAC" w:rsidP="000623A4"/>
    <w:p w14:paraId="6B76884D" w14:textId="3870576E" w:rsidR="000623A4" w:rsidRDefault="000623A4" w:rsidP="000623A4">
      <w:r>
        <w:t>Chambers:</w:t>
      </w:r>
    </w:p>
    <w:p w14:paraId="7976336B" w14:textId="1CC579D7" w:rsidR="000623A4" w:rsidRDefault="000623A4" w:rsidP="000623A4">
      <w:r>
        <w:t xml:space="preserve">Netherlands – Embassy pays </w:t>
      </w:r>
      <w:r w:rsidR="00AE0DE4">
        <w:t>corporate membership fees</w:t>
      </w:r>
    </w:p>
    <w:p w14:paraId="057F42C4" w14:textId="77777777" w:rsidR="00A45855" w:rsidRDefault="00A45855" w:rsidP="000623A4"/>
    <w:p w14:paraId="38535CD1" w14:textId="3DD163BF" w:rsidR="00A45855" w:rsidRDefault="00A45855" w:rsidP="000623A4">
      <w:r>
        <w:t>Sarah</w:t>
      </w:r>
    </w:p>
    <w:p w14:paraId="26273106" w14:textId="77777777" w:rsidR="00167B60" w:rsidRDefault="00A45855" w:rsidP="00167B60">
      <w:pPr>
        <w:pStyle w:val="ListParagraph"/>
        <w:numPr>
          <w:ilvl w:val="0"/>
          <w:numId w:val="31"/>
        </w:numPr>
      </w:pPr>
      <w:r>
        <w:t xml:space="preserve">Mark Carney priorities, mobilization. </w:t>
      </w:r>
    </w:p>
    <w:p w14:paraId="1CFEF9BA" w14:textId="7E707A5F" w:rsidR="00A45855" w:rsidRDefault="00167B60" w:rsidP="00167B60">
      <w:pPr>
        <w:pStyle w:val="ListParagraph"/>
        <w:numPr>
          <w:ilvl w:val="0"/>
          <w:numId w:val="31"/>
        </w:numPr>
      </w:pPr>
      <w:r>
        <w:t>Does Canada intend to leverage Canada’s military contribution to facilitate trade development with Latvia and the Baltic region</w:t>
      </w:r>
      <w:r w:rsidR="00A45855">
        <w:t xml:space="preserve"> </w:t>
      </w:r>
    </w:p>
    <w:p w14:paraId="334C27AC" w14:textId="355638F9" w:rsidR="00EE619E" w:rsidRDefault="00EE619E" w:rsidP="00EE619E">
      <w:r>
        <w:t>EDC comi</w:t>
      </w:r>
      <w:r w:rsidR="0047202C">
        <w:t>ng to Latvia in November</w:t>
      </w:r>
    </w:p>
    <w:p w14:paraId="1F1441F5" w14:textId="74F14C86" w:rsidR="00C33582" w:rsidRPr="006365D0" w:rsidRDefault="00C33582" w:rsidP="00EE619E">
      <w:r>
        <w:t xml:space="preserve">Diversification </w:t>
      </w:r>
      <w:r w:rsidR="0063244F">
        <w:t>also applies to sourcing to derisk.</w:t>
      </w:r>
    </w:p>
    <w:sectPr w:rsidR="00C33582" w:rsidRPr="006365D0"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2D809" w14:textId="77777777" w:rsidR="00466FDD" w:rsidRDefault="00466FDD" w:rsidP="000C0F2E">
      <w:pPr>
        <w:spacing w:after="0" w:line="240" w:lineRule="auto"/>
      </w:pPr>
      <w:r>
        <w:separator/>
      </w:r>
    </w:p>
  </w:endnote>
  <w:endnote w:type="continuationSeparator" w:id="0">
    <w:p w14:paraId="4BCDB208" w14:textId="77777777" w:rsidR="00466FDD" w:rsidRDefault="00466FDD" w:rsidP="000C0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BA53D" w14:textId="77777777" w:rsidR="00466FDD" w:rsidRDefault="00466FDD" w:rsidP="000C0F2E">
      <w:pPr>
        <w:spacing w:after="0" w:line="240" w:lineRule="auto"/>
      </w:pPr>
      <w:r>
        <w:separator/>
      </w:r>
    </w:p>
  </w:footnote>
  <w:footnote w:type="continuationSeparator" w:id="0">
    <w:p w14:paraId="21AAD98D" w14:textId="77777777" w:rsidR="00466FDD" w:rsidRDefault="00466FDD" w:rsidP="000C0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6646" w14:textId="2BE5B9DE" w:rsidR="000C0F2E" w:rsidRDefault="000C0F2E" w:rsidP="000C0F2E">
    <w:pPr>
      <w:pStyle w:val="Header"/>
      <w:jc w:val="center"/>
    </w:pPr>
    <w:r w:rsidRPr="00DF1564">
      <w:rPr>
        <w:rFonts w:ascii="Helvetica" w:hAnsi="Helvetica"/>
        <w:noProof/>
      </w:rPr>
      <w:drawing>
        <wp:inline distT="0" distB="0" distL="0" distR="0" wp14:anchorId="2718452E" wp14:editId="6922ACC8">
          <wp:extent cx="1174880" cy="652088"/>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4946" cy="6909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E06817"/>
    <w:multiLevelType w:val="multilevel"/>
    <w:tmpl w:val="FA9C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9F7F47"/>
    <w:multiLevelType w:val="hybridMultilevel"/>
    <w:tmpl w:val="03DA0E4C"/>
    <w:lvl w:ilvl="0" w:tplc="715A0EB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5A46834"/>
    <w:multiLevelType w:val="hybridMultilevel"/>
    <w:tmpl w:val="E2F21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D02058"/>
    <w:multiLevelType w:val="hybridMultilevel"/>
    <w:tmpl w:val="037AC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3A3B7E"/>
    <w:multiLevelType w:val="hybridMultilevel"/>
    <w:tmpl w:val="00922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422A77"/>
    <w:multiLevelType w:val="hybridMultilevel"/>
    <w:tmpl w:val="9BBAA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A571E1"/>
    <w:multiLevelType w:val="multilevel"/>
    <w:tmpl w:val="4D06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D8259A"/>
    <w:multiLevelType w:val="hybridMultilevel"/>
    <w:tmpl w:val="AFB8A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B66B7E"/>
    <w:multiLevelType w:val="hybridMultilevel"/>
    <w:tmpl w:val="1E38B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DA165A"/>
    <w:multiLevelType w:val="hybridMultilevel"/>
    <w:tmpl w:val="6B3C3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997716"/>
    <w:multiLevelType w:val="hybridMultilevel"/>
    <w:tmpl w:val="BAFAA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9924EF"/>
    <w:multiLevelType w:val="hybridMultilevel"/>
    <w:tmpl w:val="B2B6762A"/>
    <w:lvl w:ilvl="0" w:tplc="548025C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0A8164A"/>
    <w:multiLevelType w:val="hybridMultilevel"/>
    <w:tmpl w:val="646CF040"/>
    <w:lvl w:ilvl="0" w:tplc="5C0A7EB0">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ED275D5"/>
    <w:multiLevelType w:val="hybridMultilevel"/>
    <w:tmpl w:val="AC04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AA409F"/>
    <w:multiLevelType w:val="hybridMultilevel"/>
    <w:tmpl w:val="A0C42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9A021E"/>
    <w:multiLevelType w:val="hybridMultilevel"/>
    <w:tmpl w:val="9CF0419E"/>
    <w:lvl w:ilvl="0" w:tplc="A64C1D6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4653C28"/>
    <w:multiLevelType w:val="hybridMultilevel"/>
    <w:tmpl w:val="1E68F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8BA70DD"/>
    <w:multiLevelType w:val="hybridMultilevel"/>
    <w:tmpl w:val="548264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BC83242"/>
    <w:multiLevelType w:val="hybridMultilevel"/>
    <w:tmpl w:val="63762328"/>
    <w:lvl w:ilvl="0" w:tplc="B664A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A02FCB"/>
    <w:multiLevelType w:val="hybridMultilevel"/>
    <w:tmpl w:val="7F9AB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872BF4"/>
    <w:multiLevelType w:val="hybridMultilevel"/>
    <w:tmpl w:val="3E360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282935"/>
    <w:multiLevelType w:val="hybridMultilevel"/>
    <w:tmpl w:val="9AA8C442"/>
    <w:lvl w:ilvl="0" w:tplc="9736585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5679991">
    <w:abstractNumId w:val="8"/>
  </w:num>
  <w:num w:numId="2" w16cid:durableId="559051505">
    <w:abstractNumId w:val="6"/>
  </w:num>
  <w:num w:numId="3" w16cid:durableId="1881432371">
    <w:abstractNumId w:val="5"/>
  </w:num>
  <w:num w:numId="4" w16cid:durableId="1639531849">
    <w:abstractNumId w:val="4"/>
  </w:num>
  <w:num w:numId="5" w16cid:durableId="1283683702">
    <w:abstractNumId w:val="7"/>
  </w:num>
  <w:num w:numId="6" w16cid:durableId="388922828">
    <w:abstractNumId w:val="3"/>
  </w:num>
  <w:num w:numId="7" w16cid:durableId="495923310">
    <w:abstractNumId w:val="2"/>
  </w:num>
  <w:num w:numId="8" w16cid:durableId="846142485">
    <w:abstractNumId w:val="1"/>
  </w:num>
  <w:num w:numId="9" w16cid:durableId="1225138815">
    <w:abstractNumId w:val="0"/>
  </w:num>
  <w:num w:numId="10" w16cid:durableId="663898615">
    <w:abstractNumId w:val="21"/>
  </w:num>
  <w:num w:numId="11" w16cid:durableId="603460414">
    <w:abstractNumId w:val="25"/>
  </w:num>
  <w:num w:numId="12" w16cid:durableId="200633355">
    <w:abstractNumId w:val="10"/>
  </w:num>
  <w:num w:numId="13" w16cid:durableId="1190528478">
    <w:abstractNumId w:val="24"/>
  </w:num>
  <w:num w:numId="14" w16cid:durableId="798766577">
    <w:abstractNumId w:val="14"/>
  </w:num>
  <w:num w:numId="15" w16cid:durableId="202980835">
    <w:abstractNumId w:val="27"/>
  </w:num>
  <w:num w:numId="16" w16cid:durableId="208760321">
    <w:abstractNumId w:val="26"/>
  </w:num>
  <w:num w:numId="17" w16cid:durableId="1868715585">
    <w:abstractNumId w:val="30"/>
  </w:num>
  <w:num w:numId="18" w16cid:durableId="1946229495">
    <w:abstractNumId w:val="20"/>
  </w:num>
  <w:num w:numId="19" w16cid:durableId="681779186">
    <w:abstractNumId w:val="17"/>
  </w:num>
  <w:num w:numId="20" w16cid:durableId="1279794249">
    <w:abstractNumId w:val="19"/>
  </w:num>
  <w:num w:numId="21" w16cid:durableId="1058944285">
    <w:abstractNumId w:val="23"/>
  </w:num>
  <w:num w:numId="22" w16cid:durableId="1635326033">
    <w:abstractNumId w:val="13"/>
  </w:num>
  <w:num w:numId="23" w16cid:durableId="1876692225">
    <w:abstractNumId w:val="15"/>
  </w:num>
  <w:num w:numId="24" w16cid:durableId="2126806903">
    <w:abstractNumId w:val="9"/>
  </w:num>
  <w:num w:numId="25" w16cid:durableId="1503931044">
    <w:abstractNumId w:val="12"/>
  </w:num>
  <w:num w:numId="26" w16cid:durableId="877669424">
    <w:abstractNumId w:val="29"/>
  </w:num>
  <w:num w:numId="27" w16cid:durableId="1425568564">
    <w:abstractNumId w:val="22"/>
  </w:num>
  <w:num w:numId="28" w16cid:durableId="837380921">
    <w:abstractNumId w:val="18"/>
  </w:num>
  <w:num w:numId="29" w16cid:durableId="1563633396">
    <w:abstractNumId w:val="11"/>
  </w:num>
  <w:num w:numId="30" w16cid:durableId="1296643554">
    <w:abstractNumId w:val="28"/>
  </w:num>
  <w:num w:numId="31" w16cid:durableId="4467775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3709"/>
    <w:rsid w:val="0006063C"/>
    <w:rsid w:val="00060EB1"/>
    <w:rsid w:val="000623A4"/>
    <w:rsid w:val="000C0F2E"/>
    <w:rsid w:val="001054B7"/>
    <w:rsid w:val="001273FB"/>
    <w:rsid w:val="0015074B"/>
    <w:rsid w:val="00167B60"/>
    <w:rsid w:val="00176F5F"/>
    <w:rsid w:val="001D5187"/>
    <w:rsid w:val="0020433E"/>
    <w:rsid w:val="00280DE0"/>
    <w:rsid w:val="0029639D"/>
    <w:rsid w:val="002C4D4B"/>
    <w:rsid w:val="002D26B7"/>
    <w:rsid w:val="00301426"/>
    <w:rsid w:val="00326F90"/>
    <w:rsid w:val="00334D25"/>
    <w:rsid w:val="003B5791"/>
    <w:rsid w:val="003C517A"/>
    <w:rsid w:val="00423558"/>
    <w:rsid w:val="00433282"/>
    <w:rsid w:val="00437B48"/>
    <w:rsid w:val="0045199B"/>
    <w:rsid w:val="00466FDD"/>
    <w:rsid w:val="0047202C"/>
    <w:rsid w:val="00474D66"/>
    <w:rsid w:val="004B36F8"/>
    <w:rsid w:val="004F15FF"/>
    <w:rsid w:val="004F5BDF"/>
    <w:rsid w:val="005020A3"/>
    <w:rsid w:val="005453F1"/>
    <w:rsid w:val="00603456"/>
    <w:rsid w:val="00622795"/>
    <w:rsid w:val="0063244F"/>
    <w:rsid w:val="006365D0"/>
    <w:rsid w:val="006B77CF"/>
    <w:rsid w:val="00707CA0"/>
    <w:rsid w:val="00711D24"/>
    <w:rsid w:val="0077534E"/>
    <w:rsid w:val="00796EA6"/>
    <w:rsid w:val="00826165"/>
    <w:rsid w:val="008856E1"/>
    <w:rsid w:val="008D2B7F"/>
    <w:rsid w:val="0090674A"/>
    <w:rsid w:val="00915313"/>
    <w:rsid w:val="00932386"/>
    <w:rsid w:val="0094743C"/>
    <w:rsid w:val="00A3091C"/>
    <w:rsid w:val="00A45855"/>
    <w:rsid w:val="00A70276"/>
    <w:rsid w:val="00AA1D8D"/>
    <w:rsid w:val="00AA6C52"/>
    <w:rsid w:val="00AE0DE4"/>
    <w:rsid w:val="00AE3BD4"/>
    <w:rsid w:val="00AF5EAC"/>
    <w:rsid w:val="00B47730"/>
    <w:rsid w:val="00B660A2"/>
    <w:rsid w:val="00B71D15"/>
    <w:rsid w:val="00BD6B9D"/>
    <w:rsid w:val="00BD6F52"/>
    <w:rsid w:val="00C33582"/>
    <w:rsid w:val="00C53B48"/>
    <w:rsid w:val="00C70D9E"/>
    <w:rsid w:val="00CB0664"/>
    <w:rsid w:val="00D159C9"/>
    <w:rsid w:val="00D934E2"/>
    <w:rsid w:val="00DE2FA9"/>
    <w:rsid w:val="00E017FD"/>
    <w:rsid w:val="00E84E72"/>
    <w:rsid w:val="00E91EF7"/>
    <w:rsid w:val="00EB268A"/>
    <w:rsid w:val="00EB7BE8"/>
    <w:rsid w:val="00EE619E"/>
    <w:rsid w:val="00F974B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414446"/>
  <w14:defaultImageDpi w14:val="300"/>
  <w15:docId w15:val="{779AA6A9-C2C3-974A-9887-C95986C50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F974BF"/>
    <w:pPr>
      <w:spacing w:after="0" w:line="240" w:lineRule="auto"/>
    </w:pPr>
  </w:style>
  <w:style w:type="character" w:styleId="CommentReference">
    <w:name w:val="annotation reference"/>
    <w:basedOn w:val="DefaultParagraphFont"/>
    <w:uiPriority w:val="99"/>
    <w:semiHidden/>
    <w:unhideWhenUsed/>
    <w:rsid w:val="00F974BF"/>
    <w:rPr>
      <w:sz w:val="16"/>
      <w:szCs w:val="16"/>
    </w:rPr>
  </w:style>
  <w:style w:type="paragraph" w:styleId="CommentText">
    <w:name w:val="annotation text"/>
    <w:basedOn w:val="Normal"/>
    <w:link w:val="CommentTextChar"/>
    <w:uiPriority w:val="99"/>
    <w:semiHidden/>
    <w:unhideWhenUsed/>
    <w:rsid w:val="00F974BF"/>
    <w:pPr>
      <w:spacing w:line="240" w:lineRule="auto"/>
    </w:pPr>
    <w:rPr>
      <w:sz w:val="20"/>
      <w:szCs w:val="20"/>
    </w:rPr>
  </w:style>
  <w:style w:type="character" w:customStyle="1" w:styleId="CommentTextChar">
    <w:name w:val="Comment Text Char"/>
    <w:basedOn w:val="DefaultParagraphFont"/>
    <w:link w:val="CommentText"/>
    <w:uiPriority w:val="99"/>
    <w:semiHidden/>
    <w:rsid w:val="00F974BF"/>
    <w:rPr>
      <w:sz w:val="20"/>
      <w:szCs w:val="20"/>
    </w:rPr>
  </w:style>
  <w:style w:type="paragraph" w:styleId="CommentSubject">
    <w:name w:val="annotation subject"/>
    <w:basedOn w:val="CommentText"/>
    <w:next w:val="CommentText"/>
    <w:link w:val="CommentSubjectChar"/>
    <w:uiPriority w:val="99"/>
    <w:semiHidden/>
    <w:unhideWhenUsed/>
    <w:rsid w:val="00F974BF"/>
    <w:rPr>
      <w:b/>
      <w:bCs/>
    </w:rPr>
  </w:style>
  <w:style w:type="character" w:customStyle="1" w:styleId="CommentSubjectChar">
    <w:name w:val="Comment Subject Char"/>
    <w:basedOn w:val="CommentTextChar"/>
    <w:link w:val="CommentSubject"/>
    <w:uiPriority w:val="99"/>
    <w:semiHidden/>
    <w:rsid w:val="00F974BF"/>
    <w:rPr>
      <w:b/>
      <w:bCs/>
      <w:sz w:val="20"/>
      <w:szCs w:val="20"/>
    </w:rPr>
  </w:style>
  <w:style w:type="paragraph" w:styleId="NormalWeb">
    <w:name w:val="Normal (Web)"/>
    <w:basedOn w:val="Normal"/>
    <w:uiPriority w:val="99"/>
    <w:semiHidden/>
    <w:unhideWhenUsed/>
    <w:rsid w:val="003B57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B5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69515">
      <w:bodyDiv w:val="1"/>
      <w:marLeft w:val="0"/>
      <w:marRight w:val="0"/>
      <w:marTop w:val="0"/>
      <w:marBottom w:val="0"/>
      <w:divBdr>
        <w:top w:val="none" w:sz="0" w:space="0" w:color="auto"/>
        <w:left w:val="none" w:sz="0" w:space="0" w:color="auto"/>
        <w:bottom w:val="none" w:sz="0" w:space="0" w:color="auto"/>
        <w:right w:val="none" w:sz="0" w:space="0" w:color="auto"/>
      </w:divBdr>
    </w:div>
    <w:div w:id="19851131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1751</Words>
  <Characters>9986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 Kalvins</cp:lastModifiedBy>
  <cp:revision>3</cp:revision>
  <dcterms:created xsi:type="dcterms:W3CDTF">2025-10-17T09:59:00Z</dcterms:created>
  <dcterms:modified xsi:type="dcterms:W3CDTF">2025-10-17T10:11:00Z</dcterms:modified>
  <cp:category/>
</cp:coreProperties>
</file>